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5CF4" w14:textId="77777777" w:rsidR="00214046" w:rsidRPr="00214046" w:rsidRDefault="00214046" w:rsidP="00214046">
      <w:pPr>
        <w:spacing w:before="240" w:after="0" w:line="240" w:lineRule="auto"/>
        <w:ind w:left="6480" w:firstLine="720"/>
        <w:jc w:val="both"/>
        <w:rPr>
          <w:rFonts w:eastAsia="Times New Roman" w:cs="Times New Roman"/>
          <w:b/>
          <w:sz w:val="28"/>
          <w:szCs w:val="28"/>
        </w:rPr>
      </w:pPr>
      <w:bookmarkStart w:id="0" w:name="_Hlk486401985"/>
      <w:r w:rsidRPr="00214046">
        <w:rPr>
          <w:rFonts w:eastAsia="Times New Roman" w:cs="Times New Roman"/>
          <w:b/>
          <w:sz w:val="28"/>
          <w:szCs w:val="28"/>
        </w:rPr>
        <w:t xml:space="preserve">APSTIPRINĀTS </w:t>
      </w:r>
    </w:p>
    <w:p w14:paraId="5254E17E" w14:textId="77777777" w:rsidR="00214046" w:rsidRPr="00214046" w:rsidRDefault="00214046" w:rsidP="00214046">
      <w:pPr>
        <w:spacing w:after="0" w:line="240" w:lineRule="auto"/>
        <w:ind w:left="5245"/>
        <w:jc w:val="right"/>
        <w:rPr>
          <w:rFonts w:eastAsia="Times New Roman" w:cs="Times New Roman"/>
          <w:szCs w:val="24"/>
        </w:rPr>
      </w:pPr>
      <w:r w:rsidRPr="00214046">
        <w:rPr>
          <w:rFonts w:eastAsia="Times New Roman" w:cs="Times New Roman"/>
          <w:szCs w:val="24"/>
        </w:rPr>
        <w:t xml:space="preserve">ar ģenerālprokurora </w:t>
      </w:r>
      <w:proofErr w:type="spellStart"/>
      <w:r w:rsidRPr="00214046">
        <w:rPr>
          <w:rFonts w:eastAsia="Times New Roman" w:cs="Times New Roman"/>
          <w:szCs w:val="24"/>
        </w:rPr>
        <w:t>J.Stukāna</w:t>
      </w:r>
      <w:proofErr w:type="spellEnd"/>
      <w:r w:rsidRPr="00214046">
        <w:rPr>
          <w:rFonts w:eastAsia="Times New Roman" w:cs="Times New Roman"/>
          <w:szCs w:val="24"/>
        </w:rPr>
        <w:t xml:space="preserve"> </w:t>
      </w:r>
    </w:p>
    <w:tbl>
      <w:tblPr>
        <w:tblW w:w="2986" w:type="dxa"/>
        <w:tblInd w:w="6487" w:type="dxa"/>
        <w:tblLayout w:type="fixed"/>
        <w:tblLook w:val="04A0" w:firstRow="1" w:lastRow="0" w:firstColumn="1" w:lastColumn="0" w:noHBand="0" w:noVBand="1"/>
      </w:tblPr>
      <w:tblGrid>
        <w:gridCol w:w="2977"/>
        <w:gridCol w:w="9"/>
      </w:tblGrid>
      <w:tr w:rsidR="00214046" w:rsidRPr="00214046" w14:paraId="5BFD9060" w14:textId="77777777" w:rsidTr="00D8280A">
        <w:tc>
          <w:tcPr>
            <w:tcW w:w="2986" w:type="dxa"/>
            <w:gridSpan w:val="2"/>
            <w:tcBorders>
              <w:top w:val="nil"/>
              <w:left w:val="nil"/>
              <w:right w:val="nil"/>
            </w:tcBorders>
          </w:tcPr>
          <w:p w14:paraId="1D5B8B59" w14:textId="77777777" w:rsidR="00214046" w:rsidRPr="00214046" w:rsidRDefault="00214046" w:rsidP="00214046">
            <w:pPr>
              <w:spacing w:after="0" w:line="276" w:lineRule="auto"/>
              <w:jc w:val="right"/>
              <w:rPr>
                <w:rFonts w:eastAsia="Times New Roman" w:cs="Times New Roman"/>
                <w:szCs w:val="24"/>
              </w:rPr>
            </w:pPr>
            <w:r w:rsidRPr="00214046">
              <w:rPr>
                <w:rFonts w:eastAsia="Times New Roman" w:cs="Times New Roman"/>
                <w:szCs w:val="24"/>
              </w:rPr>
              <w:fldChar w:fldCharType="begin"/>
            </w:r>
            <w:r w:rsidRPr="00214046">
              <w:rPr>
                <w:rFonts w:eastAsia="Times New Roman" w:cs="Times New Roman"/>
                <w:szCs w:val="24"/>
              </w:rPr>
              <w:instrText xml:space="preserve"> DOCPROPERTY  #DOC_DAT#  \* MERGEFORMAT </w:instrText>
            </w:r>
            <w:r w:rsidRPr="00214046">
              <w:rPr>
                <w:rFonts w:eastAsia="Times New Roman" w:cs="Times New Roman"/>
                <w:szCs w:val="24"/>
              </w:rPr>
              <w:fldChar w:fldCharType="separate"/>
            </w:r>
            <w:r w:rsidRPr="00214046">
              <w:rPr>
                <w:rFonts w:eastAsia="Times New Roman" w:cs="Times New Roman"/>
                <w:szCs w:val="24"/>
              </w:rPr>
              <w:t>06.08.2021.</w:t>
            </w:r>
            <w:r w:rsidRPr="00214046">
              <w:rPr>
                <w:rFonts w:eastAsia="Times New Roman" w:cs="Times New Roman"/>
                <w:szCs w:val="24"/>
              </w:rPr>
              <w:fldChar w:fldCharType="end"/>
            </w:r>
            <w:r w:rsidRPr="00214046">
              <w:rPr>
                <w:rFonts w:eastAsia="Times New Roman" w:cs="Times New Roman"/>
                <w:szCs w:val="24"/>
              </w:rPr>
              <w:t xml:space="preserve"> pavēli</w:t>
            </w:r>
          </w:p>
        </w:tc>
      </w:tr>
      <w:tr w:rsidR="00214046" w:rsidRPr="00214046" w14:paraId="5D1E915B" w14:textId="77777777" w:rsidTr="00D8280A">
        <w:trPr>
          <w:gridAfter w:val="1"/>
          <w:wAfter w:w="9" w:type="dxa"/>
        </w:trPr>
        <w:tc>
          <w:tcPr>
            <w:tcW w:w="2977" w:type="dxa"/>
            <w:tcBorders>
              <w:top w:val="nil"/>
              <w:left w:val="nil"/>
              <w:right w:val="nil"/>
            </w:tcBorders>
          </w:tcPr>
          <w:p w14:paraId="299891D0" w14:textId="77777777" w:rsidR="00214046" w:rsidRPr="00214046" w:rsidRDefault="00214046" w:rsidP="00214046">
            <w:pPr>
              <w:spacing w:after="0" w:line="276" w:lineRule="auto"/>
              <w:jc w:val="both"/>
              <w:rPr>
                <w:rFonts w:eastAsia="Times New Roman" w:cs="Times New Roman"/>
                <w:szCs w:val="24"/>
              </w:rPr>
            </w:pPr>
            <w:r w:rsidRPr="00214046">
              <w:rPr>
                <w:rFonts w:eastAsia="Times New Roman" w:cs="Times New Roman"/>
                <w:szCs w:val="24"/>
              </w:rPr>
              <w:t xml:space="preserve">Nr. </w:t>
            </w:r>
            <w:r w:rsidRPr="00214046">
              <w:rPr>
                <w:rFonts w:eastAsia="Times New Roman" w:cs="Times New Roman"/>
                <w:szCs w:val="24"/>
              </w:rPr>
              <w:fldChar w:fldCharType="begin"/>
            </w:r>
            <w:r w:rsidRPr="00214046">
              <w:rPr>
                <w:rFonts w:eastAsia="Times New Roman" w:cs="Times New Roman"/>
                <w:szCs w:val="24"/>
              </w:rPr>
              <w:instrText xml:space="preserve"> DOCPROPERTY  #DOC_NR#  \* MERGEFORMAT </w:instrText>
            </w:r>
            <w:r w:rsidRPr="00214046">
              <w:rPr>
                <w:rFonts w:eastAsia="Times New Roman" w:cs="Times New Roman"/>
                <w:szCs w:val="24"/>
              </w:rPr>
              <w:fldChar w:fldCharType="separate"/>
            </w:r>
            <w:r w:rsidRPr="00214046">
              <w:rPr>
                <w:rFonts w:eastAsia="Times New Roman" w:cs="Times New Roman"/>
                <w:szCs w:val="24"/>
              </w:rPr>
              <w:t>P-101-100-2021-00027</w:t>
            </w:r>
            <w:r w:rsidRPr="00214046">
              <w:rPr>
                <w:rFonts w:eastAsia="Times New Roman" w:cs="Times New Roman"/>
                <w:szCs w:val="24"/>
              </w:rPr>
              <w:fldChar w:fldCharType="end"/>
            </w:r>
          </w:p>
        </w:tc>
      </w:tr>
    </w:tbl>
    <w:bookmarkEnd w:id="0"/>
    <w:p w14:paraId="78BB441F" w14:textId="77777777" w:rsidR="00214046" w:rsidRPr="00214046" w:rsidRDefault="00214046" w:rsidP="00214046">
      <w:pPr>
        <w:spacing w:before="240" w:after="0" w:line="240" w:lineRule="auto"/>
        <w:jc w:val="right"/>
        <w:rPr>
          <w:rFonts w:eastAsia="Times New Roman" w:cs="Times New Roman"/>
          <w:b/>
          <w:sz w:val="28"/>
          <w:szCs w:val="28"/>
        </w:rPr>
      </w:pPr>
      <w:r w:rsidRPr="00214046">
        <w:rPr>
          <w:rFonts w:eastAsia="Times New Roman" w:cs="Times New Roman"/>
          <w:b/>
          <w:sz w:val="28"/>
          <w:szCs w:val="28"/>
        </w:rPr>
        <w:t>Pielikums</w:t>
      </w:r>
    </w:p>
    <w:p w14:paraId="433140F6" w14:textId="77777777" w:rsidR="00214046" w:rsidRPr="00214046" w:rsidRDefault="00214046" w:rsidP="00214046">
      <w:pPr>
        <w:spacing w:after="0" w:line="240" w:lineRule="auto"/>
        <w:jc w:val="right"/>
        <w:rPr>
          <w:rFonts w:eastAsia="Times New Roman" w:cs="Times New Roman"/>
          <w:szCs w:val="24"/>
        </w:rPr>
      </w:pPr>
      <w:r w:rsidRPr="00214046">
        <w:rPr>
          <w:rFonts w:eastAsia="Times New Roman" w:cs="Times New Roman"/>
          <w:szCs w:val="24"/>
        </w:rPr>
        <w:t>Ģenerālprokurora pavēlei Nr. 100</w:t>
      </w:r>
    </w:p>
    <w:p w14:paraId="53960631" w14:textId="77777777" w:rsidR="00214046" w:rsidRPr="00214046" w:rsidRDefault="00214046" w:rsidP="00214046">
      <w:pPr>
        <w:spacing w:after="0" w:line="240" w:lineRule="auto"/>
        <w:ind w:left="4320"/>
        <w:jc w:val="right"/>
        <w:rPr>
          <w:rFonts w:eastAsia="Times New Roman" w:cs="Times New Roman"/>
          <w:color w:val="000000"/>
          <w:szCs w:val="24"/>
        </w:rPr>
      </w:pPr>
    </w:p>
    <w:p w14:paraId="3D786410" w14:textId="77777777" w:rsidR="00214046" w:rsidRPr="00214046" w:rsidRDefault="00214046" w:rsidP="00214046">
      <w:pPr>
        <w:spacing w:after="0" w:line="240" w:lineRule="auto"/>
        <w:ind w:left="4320"/>
        <w:jc w:val="right"/>
        <w:rPr>
          <w:rFonts w:eastAsia="Times New Roman" w:cs="Times New Roman"/>
          <w:color w:val="000000"/>
          <w:szCs w:val="24"/>
        </w:rPr>
      </w:pPr>
      <w:r w:rsidRPr="00214046">
        <w:rPr>
          <w:rFonts w:eastAsia="Times New Roman" w:cs="Times New Roman"/>
          <w:color w:val="000000"/>
          <w:szCs w:val="24"/>
        </w:rPr>
        <w:t>Pieņemts ar Ģenerālprokurora padomes</w:t>
      </w:r>
    </w:p>
    <w:p w14:paraId="4EA3809F" w14:textId="77777777" w:rsidR="00214046" w:rsidRPr="00214046" w:rsidRDefault="00214046" w:rsidP="00214046">
      <w:pPr>
        <w:spacing w:after="0" w:line="240" w:lineRule="auto"/>
        <w:ind w:left="2880" w:firstLine="720"/>
        <w:jc w:val="right"/>
        <w:rPr>
          <w:rFonts w:eastAsia="Times New Roman" w:cs="Times New Roman"/>
          <w:color w:val="000000"/>
          <w:szCs w:val="24"/>
        </w:rPr>
      </w:pPr>
      <w:r w:rsidRPr="00214046">
        <w:rPr>
          <w:rFonts w:eastAsia="Times New Roman" w:cs="Times New Roman"/>
          <w:color w:val="000000"/>
          <w:szCs w:val="24"/>
        </w:rPr>
        <w:t xml:space="preserve">                       2021. gada 6. augusta lēmumu Nr. 6</w:t>
      </w:r>
    </w:p>
    <w:p w14:paraId="718A2030" w14:textId="77777777" w:rsidR="00214046" w:rsidRPr="00214046" w:rsidRDefault="00214046" w:rsidP="00214046">
      <w:pPr>
        <w:spacing w:after="0" w:line="240" w:lineRule="auto"/>
        <w:jc w:val="both"/>
        <w:rPr>
          <w:rFonts w:eastAsia="Times New Roman" w:cs="Times New Roman"/>
          <w:color w:val="000000"/>
          <w:szCs w:val="24"/>
        </w:rPr>
      </w:pPr>
    </w:p>
    <w:p w14:paraId="5B01B5C4" w14:textId="77777777" w:rsidR="00214046" w:rsidRPr="00214046" w:rsidRDefault="00214046" w:rsidP="00214046">
      <w:pPr>
        <w:spacing w:after="0" w:line="240" w:lineRule="auto"/>
        <w:jc w:val="center"/>
        <w:rPr>
          <w:rFonts w:eastAsia="Times New Roman" w:cs="Times New Roman"/>
          <w:b/>
          <w:color w:val="000000"/>
          <w:szCs w:val="24"/>
        </w:rPr>
      </w:pPr>
      <w:r w:rsidRPr="00214046">
        <w:rPr>
          <w:rFonts w:eastAsia="Times New Roman" w:cs="Times New Roman"/>
          <w:b/>
          <w:color w:val="000000"/>
          <w:szCs w:val="24"/>
        </w:rPr>
        <w:t>Prokurora amata kandidātu atlases</w:t>
      </w:r>
    </w:p>
    <w:p w14:paraId="6BA7026F" w14:textId="77777777" w:rsidR="00214046" w:rsidRPr="00214046" w:rsidRDefault="00214046" w:rsidP="00214046">
      <w:pPr>
        <w:spacing w:after="0" w:line="240" w:lineRule="auto"/>
        <w:jc w:val="center"/>
        <w:rPr>
          <w:rFonts w:eastAsia="Times New Roman" w:cs="Times New Roman"/>
          <w:b/>
          <w:color w:val="000000"/>
          <w:szCs w:val="24"/>
        </w:rPr>
      </w:pPr>
      <w:r w:rsidRPr="00214046">
        <w:rPr>
          <w:rFonts w:eastAsia="Times New Roman" w:cs="Times New Roman"/>
          <w:b/>
          <w:color w:val="000000"/>
          <w:szCs w:val="24"/>
        </w:rPr>
        <w:t xml:space="preserve">N O L I K U M S </w:t>
      </w:r>
    </w:p>
    <w:p w14:paraId="01153B30" w14:textId="77777777" w:rsidR="00214046" w:rsidRPr="00214046" w:rsidRDefault="00214046" w:rsidP="00214046">
      <w:pPr>
        <w:spacing w:after="0" w:line="240" w:lineRule="auto"/>
        <w:jc w:val="center"/>
        <w:rPr>
          <w:rFonts w:eastAsia="Times New Roman" w:cs="Times New Roman"/>
          <w:b/>
          <w:color w:val="000000"/>
          <w:szCs w:val="24"/>
        </w:rPr>
      </w:pPr>
    </w:p>
    <w:p w14:paraId="268C526B" w14:textId="77777777" w:rsidR="00214046" w:rsidRPr="00214046" w:rsidRDefault="00214046" w:rsidP="00214046">
      <w:pPr>
        <w:spacing w:after="0" w:line="240" w:lineRule="auto"/>
        <w:jc w:val="center"/>
        <w:rPr>
          <w:rFonts w:eastAsia="Times New Roman" w:cs="Times New Roman"/>
          <w:color w:val="000000"/>
          <w:szCs w:val="24"/>
        </w:rPr>
      </w:pPr>
      <w:r w:rsidRPr="00214046">
        <w:rPr>
          <w:rFonts w:eastAsia="Times New Roman" w:cs="Times New Roman"/>
          <w:color w:val="000000"/>
          <w:szCs w:val="24"/>
        </w:rPr>
        <w:t>I. VISPĀRĪGIE NOTEIKUMI</w:t>
      </w:r>
    </w:p>
    <w:p w14:paraId="70428C44" w14:textId="77777777" w:rsidR="00214046" w:rsidRPr="00214046" w:rsidRDefault="00214046" w:rsidP="00214046">
      <w:pPr>
        <w:spacing w:after="0" w:line="240" w:lineRule="auto"/>
        <w:jc w:val="center"/>
        <w:rPr>
          <w:rFonts w:eastAsia="Times New Roman" w:cs="Times New Roman"/>
          <w:color w:val="000000"/>
          <w:szCs w:val="24"/>
        </w:rPr>
      </w:pPr>
    </w:p>
    <w:p w14:paraId="440BF74A"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Prokurora amata kandidātu atlase tiek veikta, lai aizpildītu rajona (pilsētas) prokuratūras prokurora amata vakanci, izņemot gadījumus, kad vakantajā prokurora amatā tiek iecelts citas prokuratūras struktūrvienības prokurors.</w:t>
      </w:r>
    </w:p>
    <w:p w14:paraId="1A1AA761"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 xml:space="preserve">Prokurora amata kandidātu atlasi reglamentē Prokuratūras likums, ģenerālprokurora normatīvie akti un šis nolikums. Atlases procesā tiek veikta personas datu apstrāde saskaņā ar 2016. gada 27. aprīļa Eiropas Parlamenta un Padomes Regulu (ES) 2016/679 par fizisko personu aizsardzību attiecībā uz personas datu apstrādi un šādu datu brīvu apriti un ar ko atceļ Direktīvu 95/46EK (turpmāk – </w:t>
      </w:r>
      <w:bookmarkStart w:id="1" w:name="_Hlk516697742"/>
      <w:r w:rsidRPr="00214046">
        <w:rPr>
          <w:rFonts w:eastAsia="Times New Roman" w:cs="Times New Roman"/>
          <w:color w:val="000000"/>
          <w:szCs w:val="24"/>
          <w:lang w:eastAsia="lv-LV"/>
        </w:rPr>
        <w:t>Vispārīgā datu aizsardzības regula</w:t>
      </w:r>
      <w:bookmarkEnd w:id="1"/>
      <w:r w:rsidRPr="00214046">
        <w:rPr>
          <w:rFonts w:eastAsia="Times New Roman" w:cs="Times New Roman"/>
          <w:color w:val="000000"/>
          <w:szCs w:val="24"/>
          <w:lang w:eastAsia="lv-LV"/>
        </w:rPr>
        <w:t>).</w:t>
      </w:r>
    </w:p>
    <w:p w14:paraId="0B93F162"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 xml:space="preserve">Prokurora amata kandidātu atlases organizēšanu nodrošina Ģenerālprokuratūras </w:t>
      </w:r>
      <w:bookmarkStart w:id="2" w:name="_Hlk78473329"/>
      <w:r w:rsidRPr="00214046">
        <w:rPr>
          <w:rFonts w:eastAsia="Times New Roman" w:cs="Times New Roman"/>
          <w:color w:val="000000"/>
          <w:szCs w:val="24"/>
          <w:lang w:eastAsia="lv-LV"/>
        </w:rPr>
        <w:t>Darbības  kontroles un starptautiskās sadarbības departamenta Prokuratūras funkciju īstenošanas koordinācijas nodaļa</w:t>
      </w:r>
      <w:bookmarkEnd w:id="2"/>
      <w:r w:rsidRPr="00214046">
        <w:rPr>
          <w:rFonts w:eastAsia="Times New Roman" w:cs="Times New Roman"/>
          <w:color w:val="000000"/>
          <w:szCs w:val="24"/>
          <w:lang w:eastAsia="lv-LV"/>
        </w:rPr>
        <w:t>s virsprokurors un Administratīvā direktora dienesta Personāla nodaļas vadītājs.</w:t>
      </w:r>
    </w:p>
    <w:p w14:paraId="459FF878" w14:textId="77777777" w:rsidR="00214046" w:rsidRPr="00214046" w:rsidRDefault="00214046" w:rsidP="00214046">
      <w:pPr>
        <w:tabs>
          <w:tab w:val="left" w:pos="5865"/>
        </w:tabs>
        <w:spacing w:after="0" w:line="240" w:lineRule="auto"/>
        <w:jc w:val="both"/>
        <w:rPr>
          <w:rFonts w:eastAsia="Times New Roman" w:cs="Times New Roman"/>
          <w:color w:val="000000"/>
          <w:szCs w:val="24"/>
        </w:rPr>
      </w:pPr>
      <w:r w:rsidRPr="00214046">
        <w:rPr>
          <w:rFonts w:eastAsia="Times New Roman" w:cs="Times New Roman"/>
          <w:color w:val="000000"/>
          <w:szCs w:val="24"/>
        </w:rPr>
        <w:tab/>
      </w:r>
    </w:p>
    <w:p w14:paraId="250BF274" w14:textId="77777777" w:rsidR="00214046" w:rsidRPr="00214046" w:rsidRDefault="00214046" w:rsidP="00214046">
      <w:pPr>
        <w:spacing w:after="0" w:line="240" w:lineRule="auto"/>
        <w:jc w:val="center"/>
        <w:rPr>
          <w:rFonts w:eastAsia="Times New Roman" w:cs="Times New Roman"/>
          <w:color w:val="000000"/>
          <w:szCs w:val="24"/>
        </w:rPr>
      </w:pPr>
      <w:r w:rsidRPr="00214046">
        <w:rPr>
          <w:rFonts w:eastAsia="Times New Roman" w:cs="Times New Roman"/>
          <w:color w:val="000000"/>
          <w:szCs w:val="24"/>
        </w:rPr>
        <w:t>II. PROKURORA AMATA KANDIDĀTU</w:t>
      </w:r>
    </w:p>
    <w:p w14:paraId="56612455" w14:textId="77777777" w:rsidR="00214046" w:rsidRPr="00214046" w:rsidRDefault="00214046" w:rsidP="00214046">
      <w:pPr>
        <w:spacing w:after="0" w:line="240" w:lineRule="auto"/>
        <w:jc w:val="center"/>
        <w:rPr>
          <w:rFonts w:eastAsia="Times New Roman" w:cs="Times New Roman"/>
          <w:color w:val="000000"/>
          <w:szCs w:val="24"/>
        </w:rPr>
      </w:pPr>
      <w:r w:rsidRPr="00214046">
        <w:rPr>
          <w:rFonts w:eastAsia="Times New Roman" w:cs="Times New Roman"/>
          <w:color w:val="000000"/>
          <w:szCs w:val="24"/>
        </w:rPr>
        <w:t>ATLASES VEIKŠANAS KĀRTĪBA</w:t>
      </w:r>
    </w:p>
    <w:p w14:paraId="67BBA2B3" w14:textId="77777777" w:rsidR="00214046" w:rsidRPr="00214046" w:rsidRDefault="00214046" w:rsidP="00214046">
      <w:pPr>
        <w:spacing w:after="0" w:line="240" w:lineRule="auto"/>
        <w:jc w:val="both"/>
        <w:rPr>
          <w:rFonts w:eastAsia="Times New Roman" w:cs="Times New Roman"/>
          <w:color w:val="000000"/>
          <w:szCs w:val="24"/>
        </w:rPr>
      </w:pPr>
    </w:p>
    <w:p w14:paraId="245D945B"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Rajona (pilsētas) prokuratūras prokurora amata kandidātu atlasē ir šādi posmi:</w:t>
      </w:r>
    </w:p>
    <w:p w14:paraId="35112D0B" w14:textId="77777777" w:rsidR="00214046" w:rsidRPr="00214046" w:rsidRDefault="00214046" w:rsidP="00214046">
      <w:pPr>
        <w:numPr>
          <w:ilvl w:val="1"/>
          <w:numId w:val="2"/>
        </w:numPr>
        <w:spacing w:after="0" w:line="240" w:lineRule="auto"/>
        <w:contextualSpacing/>
        <w:jc w:val="both"/>
        <w:rPr>
          <w:rFonts w:eastAsia="Times New Roman" w:cs="Times New Roman"/>
          <w:color w:val="000000"/>
          <w:szCs w:val="24"/>
          <w:lang w:eastAsia="lv-LV"/>
        </w:rPr>
      </w:pPr>
      <w:r w:rsidRPr="00214046">
        <w:rPr>
          <w:rFonts w:eastAsia="Times New Roman" w:cs="Times New Roman"/>
          <w:szCs w:val="24"/>
          <w:lang w:eastAsia="lv-LV"/>
        </w:rPr>
        <w:t xml:space="preserve">personas, kura vēlas kandidēt uz prokurora amatu, (turpmāk - pretendents) </w:t>
      </w:r>
      <w:r w:rsidRPr="00214046">
        <w:rPr>
          <w:rFonts w:eastAsia="Times New Roman" w:cs="Times New Roman"/>
          <w:color w:val="000000"/>
          <w:szCs w:val="24"/>
          <w:lang w:eastAsia="lv-LV"/>
        </w:rPr>
        <w:t>pieteikuma iesniegšana;</w:t>
      </w:r>
    </w:p>
    <w:p w14:paraId="6EF9CB7F" w14:textId="77777777" w:rsidR="00214046" w:rsidRPr="00214046" w:rsidRDefault="00214046" w:rsidP="00214046">
      <w:pPr>
        <w:numPr>
          <w:ilvl w:val="1"/>
          <w:numId w:val="2"/>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vispārējo un juridisko zināšanu pārbaudījums;</w:t>
      </w:r>
    </w:p>
    <w:p w14:paraId="0000B270" w14:textId="77777777" w:rsidR="00214046" w:rsidRPr="00214046" w:rsidRDefault="00214046" w:rsidP="00214046">
      <w:pPr>
        <w:numPr>
          <w:ilvl w:val="1"/>
          <w:numId w:val="2"/>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papildu dokumentu un informācijas iegūšana un pārbaude;</w:t>
      </w:r>
    </w:p>
    <w:p w14:paraId="35CA2A5C" w14:textId="77777777" w:rsidR="00214046" w:rsidRPr="00214046" w:rsidRDefault="00214046" w:rsidP="00214046">
      <w:pPr>
        <w:numPr>
          <w:ilvl w:val="1"/>
          <w:numId w:val="2"/>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izvērtēšana Prokuroru atestācijas komisijā;</w:t>
      </w:r>
    </w:p>
    <w:p w14:paraId="27C7E3B1" w14:textId="77777777" w:rsidR="00214046" w:rsidRPr="00214046" w:rsidRDefault="00214046" w:rsidP="00214046">
      <w:pPr>
        <w:numPr>
          <w:ilvl w:val="1"/>
          <w:numId w:val="2"/>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stažēšanās līguma noslēgšana ar prokurora amata kandidātu.</w:t>
      </w:r>
    </w:p>
    <w:p w14:paraId="3A76BD84" w14:textId="77777777" w:rsidR="00214046" w:rsidRPr="00214046" w:rsidRDefault="00214046" w:rsidP="00214046">
      <w:pPr>
        <w:spacing w:after="0" w:line="240" w:lineRule="auto"/>
        <w:jc w:val="both"/>
        <w:rPr>
          <w:rFonts w:eastAsia="Times New Roman" w:cs="Times New Roman"/>
          <w:color w:val="000000"/>
          <w:szCs w:val="24"/>
        </w:rPr>
      </w:pPr>
    </w:p>
    <w:p w14:paraId="78513DFA"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 xml:space="preserve">Par iespēju pieteikties uz vakanto rajona (pilsētas) prokuratūras prokurora amata vietu tiek publicēts sludinājums prokuratūras mājaslapā internetā. Sludinājumā norāda pretendenta pieteikuma iesniegšanas vietu un termiņu, vispārējo un juridisko zināšanu pārbaudījuma pirmās kārtas norises vietu, datumu un laiku, </w:t>
      </w:r>
      <w:r w:rsidRPr="00214046">
        <w:rPr>
          <w:rFonts w:eastAsia="Times New Roman" w:cs="Times New Roman"/>
          <w:szCs w:val="24"/>
          <w:lang w:eastAsia="lv-LV"/>
        </w:rPr>
        <w:t xml:space="preserve">kā arī sniedz Vispārīgās datu aizsardzības regulas 13. un 14.pantā noteikto informāciju. </w:t>
      </w:r>
      <w:r w:rsidRPr="00214046">
        <w:rPr>
          <w:rFonts w:eastAsia="Times New Roman" w:cs="Times New Roman"/>
          <w:color w:val="000000"/>
          <w:szCs w:val="24"/>
          <w:lang w:eastAsia="lv-LV"/>
        </w:rPr>
        <w:t>Sludinājums tiek publicēts ne vēlāk kā vienu nedēļu pirms pretendenta pieteikuma iesniegšanas termiņa pēdējās dienas un ne vēlāk kā vienu mēnesi pirms vispārējo un juridisko zināšanu pārbaudījuma pirmās kārtas norises dienas.</w:t>
      </w:r>
    </w:p>
    <w:p w14:paraId="5FC39588" w14:textId="77777777" w:rsidR="00214046" w:rsidRPr="00214046" w:rsidRDefault="00214046" w:rsidP="00214046">
      <w:pPr>
        <w:spacing w:after="0" w:line="240" w:lineRule="auto"/>
        <w:jc w:val="both"/>
        <w:rPr>
          <w:rFonts w:eastAsia="Times New Roman" w:cs="Times New Roman"/>
          <w:color w:val="000000"/>
          <w:szCs w:val="24"/>
        </w:rPr>
      </w:pPr>
    </w:p>
    <w:p w14:paraId="6D4C6A08"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 xml:space="preserve">Pretendents iesniedz pieteikumu, kas aizpildīts uz veidlapas. Pretendenta pieteikuma veidlapas izstrādi nodrošina Ģenerālprokuratūras Darbības  kontroles un starptautiskās sadarbības departamenta Prokuratūras funkciju īstenošanas koordinācijas nodaļas  virsprokurors un tā pieejama prokuratūras mājaslapā internetā. </w:t>
      </w:r>
    </w:p>
    <w:p w14:paraId="278C96C4" w14:textId="77777777" w:rsidR="00214046" w:rsidRPr="00214046" w:rsidRDefault="00214046" w:rsidP="00214046">
      <w:pPr>
        <w:spacing w:after="0" w:line="240" w:lineRule="auto"/>
        <w:jc w:val="both"/>
        <w:rPr>
          <w:rFonts w:eastAsia="Times New Roman" w:cs="Times New Roman"/>
          <w:color w:val="FF0000"/>
          <w:szCs w:val="24"/>
        </w:rPr>
      </w:pPr>
    </w:p>
    <w:p w14:paraId="5780995F" w14:textId="77777777" w:rsidR="00214046" w:rsidRPr="00214046" w:rsidRDefault="00214046" w:rsidP="00214046">
      <w:pPr>
        <w:numPr>
          <w:ilvl w:val="0"/>
          <w:numId w:val="1"/>
        </w:numPr>
        <w:spacing w:after="0" w:line="240" w:lineRule="auto"/>
        <w:ind w:left="357" w:hanging="357"/>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Pretendents papildus pretendenta pieteikumam var iesniegt lūgumu atbrīvot viņu no vispārējo un juridisko zināšanu pārbaudījuma kārtošanas, pievienojot lūgumam dokumentus, kas apliecina viņa atbilstību šī nolikuma 9. punktā paredzētajiem nosacījumiem. Lūgums un tam pievienotie dokumenti iesniedzami Ģenerālprokuratūras Darbības  kontroles un starptautiskās sadarbības departamenta Prokuratūras funkciju īstenošanas koordinācijas nodaļas virsprokurora norīkotajam prokuroram vai  Administratīvā direktora dienesta Personāla nodaļas darbiniekam (turpmāk - pilnvarotajai amatpersonai) viņa noteiktā vietā, datumā un laikā. Pilnvarotā amatpersona izgatavo lūgumam pievienoto dokumentu apliecinātas kopijas, bet šo dokumentu oriģinālus atdod pretendentam.</w:t>
      </w:r>
    </w:p>
    <w:p w14:paraId="7B88A5E1" w14:textId="77777777" w:rsidR="00214046" w:rsidRPr="00214046" w:rsidRDefault="00214046" w:rsidP="00214046">
      <w:pPr>
        <w:spacing w:after="0" w:line="240" w:lineRule="auto"/>
        <w:jc w:val="both"/>
        <w:rPr>
          <w:rFonts w:eastAsia="Times New Roman" w:cs="Times New Roman"/>
          <w:color w:val="000000"/>
          <w:szCs w:val="24"/>
        </w:rPr>
      </w:pPr>
    </w:p>
    <w:p w14:paraId="445096CF"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Pretendents, kurš noteiktajā termiņā iesniedzis pilnībā aizpildītu pretendenta pieteikumu, kārto vispārējo un juridisko zināšanu pārbaudījumu šī nolikuma III nodaļā noteiktajā kārtībā vai arī no tā kārtošanas tiek atbrīvots. Ja pretendents nokavējis pretendenta pieteikuma iesniegšanas termiņu, pieteikumu aizpildījis nepilnīgi vai arī pretendenta pieteikumā sniegtā informācija norāda uz viņa neatbilstību Prokuratūras likumā noteiktajām prasībām kandidēšanai uz prokurora amatu, pilnvarotā amatpersona viņam paziņo, ka viņš netiek pielaists pie vispārējo un juridisko zināšanu pārbaudījuma.</w:t>
      </w:r>
    </w:p>
    <w:p w14:paraId="62B65698" w14:textId="77777777" w:rsidR="00214046" w:rsidRPr="00214046" w:rsidRDefault="00214046" w:rsidP="00214046">
      <w:pPr>
        <w:spacing w:after="0" w:line="240" w:lineRule="auto"/>
        <w:jc w:val="both"/>
        <w:rPr>
          <w:rFonts w:eastAsia="Times New Roman" w:cs="Times New Roman"/>
          <w:color w:val="000000"/>
          <w:szCs w:val="24"/>
        </w:rPr>
      </w:pPr>
    </w:p>
    <w:p w14:paraId="0824E56E"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No vispārējo un juridisko zināšanu pārbaudījuma kārtošanas ģenerālprokurors var atbrīvot personu, kura:</w:t>
      </w:r>
    </w:p>
    <w:p w14:paraId="0A826922" w14:textId="77777777" w:rsidR="00214046" w:rsidRPr="00214046" w:rsidRDefault="00214046" w:rsidP="00214046">
      <w:pPr>
        <w:spacing w:before="120" w:after="120" w:line="240" w:lineRule="auto"/>
        <w:ind w:left="720" w:hanging="567"/>
        <w:contextualSpacing/>
        <w:jc w:val="both"/>
        <w:rPr>
          <w:rFonts w:eastAsia="Times New Roman" w:cs="Times New Roman"/>
          <w:color w:val="000000"/>
          <w:szCs w:val="24"/>
          <w:lang w:eastAsia="lv-LV"/>
        </w:rPr>
      </w:pPr>
    </w:p>
    <w:p w14:paraId="4807EB5B" w14:textId="77777777" w:rsidR="00214046" w:rsidRPr="00214046" w:rsidRDefault="00214046" w:rsidP="00214046">
      <w:pPr>
        <w:numPr>
          <w:ilvl w:val="1"/>
          <w:numId w:val="1"/>
        </w:numPr>
        <w:spacing w:before="120" w:after="12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pēdējo triju gadu laikā sekmīgi nokārtojusi tiesneša vai advokāta kvalifikācijas eksāmenu, kura jau agrāk ir strādājusi prokurora amatā vai kura atbilst tiesnesim, augstskolas tieslietu specialitātes akadēmiskajam personālam vai zvērinātam advokātam Prokuratūras likuma 34. un 35.pantā noteiktajām prasībām kandidēšanai uz prokurora amatu;</w:t>
      </w:r>
    </w:p>
    <w:p w14:paraId="72DCF020" w14:textId="77777777" w:rsidR="00214046" w:rsidRPr="00214046" w:rsidRDefault="00214046" w:rsidP="00214046">
      <w:pPr>
        <w:numPr>
          <w:ilvl w:val="1"/>
          <w:numId w:val="1"/>
        </w:numPr>
        <w:spacing w:before="120" w:after="120" w:line="240" w:lineRule="auto"/>
        <w:contextualSpacing/>
        <w:jc w:val="both"/>
        <w:rPr>
          <w:rFonts w:eastAsia="Times New Roman" w:cs="Times New Roman"/>
          <w:szCs w:val="20"/>
          <w:lang w:eastAsia="lv-LV"/>
        </w:rPr>
      </w:pPr>
      <w:r w:rsidRPr="00214046">
        <w:rPr>
          <w:rFonts w:eastAsia="Times New Roman" w:cs="Times New Roman"/>
          <w:color w:val="000000"/>
          <w:szCs w:val="24"/>
          <w:lang w:eastAsia="lv-LV"/>
        </w:rPr>
        <w:t>ir nokārtojusi Valsts vienoto jurista profesionālās kvalifikācijas eksāmenu.</w:t>
      </w:r>
    </w:p>
    <w:p w14:paraId="20F4F550" w14:textId="77777777" w:rsidR="00214046" w:rsidRPr="00214046" w:rsidRDefault="00214046" w:rsidP="00214046">
      <w:pPr>
        <w:spacing w:after="0" w:line="240" w:lineRule="auto"/>
        <w:jc w:val="both"/>
        <w:rPr>
          <w:rFonts w:eastAsia="Times New Roman" w:cs="Times New Roman"/>
          <w:color w:val="000000"/>
          <w:szCs w:val="24"/>
        </w:rPr>
      </w:pPr>
    </w:p>
    <w:p w14:paraId="7073B0F0"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Pretendents, kurš sekmīgi nokārtojis vispārējo un juridisko zināšanu pārbaudījumu vai arī no tā kārtošanas bijis atbrīvots, papildus, uzrādot Latvijas pilsoņa pasi, iesniedz pilnvarotajai amatpersonai šādus dokumentus:</w:t>
      </w:r>
    </w:p>
    <w:p w14:paraId="2157CDD7" w14:textId="77777777" w:rsidR="00214046" w:rsidRPr="00214046" w:rsidRDefault="00214046" w:rsidP="00214046">
      <w:pPr>
        <w:numPr>
          <w:ilvl w:val="1"/>
          <w:numId w:val="3"/>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izglītību apliecinošu dokumentu - valstiski atzītu diplomu (ar pielikumiem) par augstāko profesionālo vai akadēmisko izglītību (izņemot pirmā līmeņa profesionālo izglītību) un jurista kvalifikāciju, kā arī maģistra vai doktora grādu;</w:t>
      </w:r>
    </w:p>
    <w:p w14:paraId="40808540" w14:textId="77777777" w:rsidR="00214046" w:rsidRPr="00214046" w:rsidRDefault="00214046" w:rsidP="00214046">
      <w:pPr>
        <w:numPr>
          <w:ilvl w:val="1"/>
          <w:numId w:val="3"/>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motivētu pieteikumu;</w:t>
      </w:r>
    </w:p>
    <w:p w14:paraId="1D84C16B" w14:textId="77777777" w:rsidR="00214046" w:rsidRPr="00214046" w:rsidRDefault="00214046" w:rsidP="00214046">
      <w:pPr>
        <w:numPr>
          <w:ilvl w:val="1"/>
          <w:numId w:val="3"/>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dzīves aprakstu (CV);</w:t>
      </w:r>
    </w:p>
    <w:p w14:paraId="08FCDF32" w14:textId="77777777" w:rsidR="00214046" w:rsidRPr="00214046" w:rsidRDefault="00214046" w:rsidP="00214046">
      <w:pPr>
        <w:numPr>
          <w:ilvl w:val="1"/>
          <w:numId w:val="3"/>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darba stāžu apliecinošus dokumentus;</w:t>
      </w:r>
    </w:p>
    <w:p w14:paraId="680B32EA" w14:textId="77777777" w:rsidR="00214046" w:rsidRPr="00214046" w:rsidRDefault="00214046" w:rsidP="00214046">
      <w:pPr>
        <w:numPr>
          <w:ilvl w:val="1"/>
          <w:numId w:val="3"/>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atsauksmes par pretendenta profesionālajām prasmēm un reputāciju;</w:t>
      </w:r>
    </w:p>
    <w:p w14:paraId="10AD2C3A" w14:textId="77777777" w:rsidR="00214046" w:rsidRPr="00214046" w:rsidRDefault="00214046" w:rsidP="00214046">
      <w:pPr>
        <w:numPr>
          <w:ilvl w:val="1"/>
          <w:numId w:val="3"/>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divas pretendenta fotogrāfijas;</w:t>
      </w:r>
    </w:p>
    <w:p w14:paraId="5E867227" w14:textId="77777777" w:rsidR="00214046" w:rsidRPr="00214046" w:rsidRDefault="00214046" w:rsidP="00214046">
      <w:pPr>
        <w:numPr>
          <w:ilvl w:val="1"/>
          <w:numId w:val="3"/>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valsts valodas prasmes apliecību par valsts valodas prasmi augstākajā līmenī (iesniedz pretendenti, kuri nav ieguvuši pamata, vidējo vai augstāko izglītību akreditētās programmās latviešu valodā);</w:t>
      </w:r>
    </w:p>
    <w:p w14:paraId="66D62E23" w14:textId="77777777" w:rsidR="00214046" w:rsidRPr="00214046" w:rsidRDefault="00214046" w:rsidP="00214046">
      <w:pPr>
        <w:numPr>
          <w:ilvl w:val="1"/>
          <w:numId w:val="3"/>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citus dokumentus, ja tādus pieprasa pilnvarotā amatpersona.</w:t>
      </w:r>
    </w:p>
    <w:p w14:paraId="41B4EB1A" w14:textId="77777777" w:rsidR="00214046" w:rsidRPr="00214046" w:rsidRDefault="00214046" w:rsidP="00214046">
      <w:pPr>
        <w:spacing w:after="0" w:line="240" w:lineRule="auto"/>
        <w:ind w:left="360"/>
        <w:jc w:val="both"/>
        <w:rPr>
          <w:rFonts w:eastAsia="Times New Roman" w:cs="Times New Roman"/>
          <w:color w:val="000000"/>
          <w:szCs w:val="24"/>
        </w:rPr>
      </w:pPr>
    </w:p>
    <w:p w14:paraId="54AC1DFC"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Pilnvarotā amatpersona izgatavo izglītību, darba stāžu un valsts valodas prasmi apliecinošo dokumentu apliecinātas kopijas, bet šo dokumentu oriģinālus atdod pretendentam.</w:t>
      </w:r>
    </w:p>
    <w:p w14:paraId="6A0728B5" w14:textId="77777777" w:rsidR="00214046" w:rsidRPr="00214046" w:rsidRDefault="00214046" w:rsidP="00214046">
      <w:pPr>
        <w:spacing w:after="0" w:line="240" w:lineRule="auto"/>
        <w:jc w:val="both"/>
        <w:rPr>
          <w:rFonts w:eastAsia="Times New Roman" w:cs="Times New Roman"/>
          <w:color w:val="000000"/>
          <w:szCs w:val="24"/>
        </w:rPr>
      </w:pPr>
    </w:p>
    <w:p w14:paraId="2FB191A1"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Par pretendentu, kurš sekmīgi nokārtojis vispārējo un juridisko zināšanu pārbaudījumu vai arī no tā kārtošanas bijis atbrīvots, pilnvarotā amatpersona pieprasa šādus papildu dokumentus un informāciju:</w:t>
      </w:r>
    </w:p>
    <w:p w14:paraId="4A2C9A37" w14:textId="77777777" w:rsidR="00214046" w:rsidRPr="00214046" w:rsidRDefault="00214046" w:rsidP="00214046">
      <w:pPr>
        <w:numPr>
          <w:ilvl w:val="1"/>
          <w:numId w:val="4"/>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ziņas par sodāmību;</w:t>
      </w:r>
    </w:p>
    <w:p w14:paraId="2C2509D2" w14:textId="77777777" w:rsidR="00214046" w:rsidRPr="00214046" w:rsidRDefault="00214046" w:rsidP="00214046">
      <w:pPr>
        <w:numPr>
          <w:ilvl w:val="1"/>
          <w:numId w:val="4"/>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ziņas par administratīvajiem pārkāpumiem;</w:t>
      </w:r>
    </w:p>
    <w:p w14:paraId="23F68EF7" w14:textId="77777777" w:rsidR="00214046" w:rsidRPr="00214046" w:rsidRDefault="00214046" w:rsidP="00214046">
      <w:pPr>
        <w:numPr>
          <w:ilvl w:val="1"/>
          <w:numId w:val="4"/>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Totalitārisma seku dokumentēšanas centra izziņu;</w:t>
      </w:r>
    </w:p>
    <w:p w14:paraId="44D74CC2" w14:textId="77777777" w:rsidR="00214046" w:rsidRPr="00214046" w:rsidRDefault="00214046" w:rsidP="00214046">
      <w:pPr>
        <w:numPr>
          <w:ilvl w:val="1"/>
          <w:numId w:val="4"/>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ziņas par rīcībspējas ierobežojumu esamību;</w:t>
      </w:r>
    </w:p>
    <w:p w14:paraId="12A87CB4" w14:textId="77777777" w:rsidR="00214046" w:rsidRPr="00214046" w:rsidRDefault="00214046" w:rsidP="00214046">
      <w:pPr>
        <w:numPr>
          <w:ilvl w:val="1"/>
          <w:numId w:val="4"/>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ziņas par atlaišanu no prokurora amata, atcelšanu no tiesneša amata, no zvērināta tiesu izpildītāja, zvērināta tiesu izpildītāja palīga, zvērināta notāra, zvērināta notāra palīga amata vai izslēgšanu no zvērinātu advokātu vai zvērinātu advokātu palīgu skaita, pamatojoties uz lēmumu disciplinārlietā;</w:t>
      </w:r>
    </w:p>
    <w:p w14:paraId="64C4D124" w14:textId="77777777" w:rsidR="00214046" w:rsidRPr="00214046" w:rsidRDefault="00214046" w:rsidP="00214046">
      <w:pPr>
        <w:numPr>
          <w:ilvl w:val="1"/>
          <w:numId w:val="4"/>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citus dokumentus un informāciju, ja tādi nepieciešami.</w:t>
      </w:r>
    </w:p>
    <w:p w14:paraId="6D98446B" w14:textId="77777777" w:rsidR="00214046" w:rsidRPr="00214046" w:rsidRDefault="00214046" w:rsidP="00214046">
      <w:pPr>
        <w:spacing w:after="0" w:line="240" w:lineRule="auto"/>
        <w:jc w:val="both"/>
        <w:rPr>
          <w:rFonts w:eastAsia="Times New Roman" w:cs="Times New Roman"/>
          <w:color w:val="000000"/>
          <w:szCs w:val="24"/>
        </w:rPr>
      </w:pPr>
    </w:p>
    <w:p w14:paraId="05859DC2"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Pretendenta iesniegtos dokumentus, kā arī jebkuru citu dokumentu vai informāciju par pretendentu pilnvarotajai amatpersonai ir tiesības pārbaudīt saskaņā ar Prokuratūras likuma 33.</w:t>
      </w:r>
      <w:r w:rsidRPr="00214046">
        <w:rPr>
          <w:rFonts w:eastAsia="Times New Roman" w:cs="Times New Roman"/>
          <w:color w:val="000000"/>
          <w:szCs w:val="24"/>
          <w:vertAlign w:val="superscript"/>
          <w:lang w:eastAsia="lv-LV"/>
        </w:rPr>
        <w:t>1</w:t>
      </w:r>
      <w:r w:rsidRPr="00214046">
        <w:rPr>
          <w:rFonts w:eastAsia="Times New Roman" w:cs="Times New Roman"/>
          <w:color w:val="000000"/>
          <w:szCs w:val="24"/>
          <w:lang w:eastAsia="lv-LV"/>
        </w:rPr>
        <w:t>panta otro daļu.</w:t>
      </w:r>
    </w:p>
    <w:p w14:paraId="7201C9B4" w14:textId="77777777" w:rsidR="00214046" w:rsidRPr="00214046" w:rsidRDefault="00214046" w:rsidP="00214046">
      <w:pPr>
        <w:spacing w:after="0" w:line="240" w:lineRule="auto"/>
        <w:jc w:val="both"/>
        <w:rPr>
          <w:rFonts w:eastAsia="Times New Roman" w:cs="Times New Roman"/>
          <w:color w:val="000000"/>
          <w:szCs w:val="24"/>
        </w:rPr>
      </w:pPr>
    </w:p>
    <w:p w14:paraId="49A4015D"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Pilnvarotajai amatpersonai ir pienākums pārbaudīt pretendenta atbilstību Prokuratūras likuma 33.pantā noteiktajām prasībām attiecībā uz pilsonību, valsts valodas prasmi un izglītību, kā arī veikt nepieciešamās darbības, lai pārliecinātos, ka attiecībā uz pretendentu nepastāv Prokuratūras likuma 37.pantā noteiktie ierobežojumi kļūšanai par prokurora amata kandidātu.</w:t>
      </w:r>
    </w:p>
    <w:p w14:paraId="33D53A1B" w14:textId="77777777" w:rsidR="00214046" w:rsidRPr="00214046" w:rsidRDefault="00214046" w:rsidP="00214046">
      <w:pPr>
        <w:spacing w:after="0" w:line="240" w:lineRule="auto"/>
        <w:jc w:val="both"/>
        <w:rPr>
          <w:rFonts w:eastAsia="Times New Roman" w:cs="Times New Roman"/>
          <w:color w:val="000000"/>
          <w:szCs w:val="24"/>
        </w:rPr>
      </w:pPr>
    </w:p>
    <w:p w14:paraId="1622F82D"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Ja dokumentu un informācijas pārbaudes rezultātā tiek noskaidrots, ka pretendents neatbilst kādai no Prokuratūras likumā noteiktajām prasībām, izņemot prasību par nevainojamu reputāciju, viņš turpmākajā atlasē nepiedalās. Pretendenta atbilstību Prokuratūras likuma prasībai par nevainojamu reputāciju izvērtē Prokuroru atestācijas komisija, veicot pretendenta izvērtēšanu tālāk noteiktajā kārtībā.</w:t>
      </w:r>
    </w:p>
    <w:p w14:paraId="56978C12" w14:textId="77777777" w:rsidR="00214046" w:rsidRPr="00214046" w:rsidRDefault="00214046" w:rsidP="00214046">
      <w:pPr>
        <w:spacing w:after="0" w:line="240" w:lineRule="auto"/>
        <w:jc w:val="both"/>
        <w:rPr>
          <w:rFonts w:eastAsia="Times New Roman" w:cs="Times New Roman"/>
          <w:color w:val="000000"/>
          <w:szCs w:val="24"/>
        </w:rPr>
      </w:pPr>
    </w:p>
    <w:p w14:paraId="0EE57173"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Pretendenta izvērtēšana Prokuroru atestācijas komisijā tiek veikta divu mēnešu laikā pēc vispārējo un juridisko zināšanu pārbaudījuma otrās kārtas norises dienas. Pilnvarotā amatpersona ne vēlāk kā trīs darba dienas pirms pretendenta izvērtēšanas dienas paziņo pretendentam datumu un laiku, kad viņam jāierodas Prokuroru atestācijas komisijā.</w:t>
      </w:r>
    </w:p>
    <w:p w14:paraId="133DF344" w14:textId="77777777" w:rsidR="00214046" w:rsidRPr="00214046" w:rsidRDefault="00214046" w:rsidP="00214046">
      <w:pPr>
        <w:spacing w:after="0" w:line="240" w:lineRule="auto"/>
        <w:jc w:val="both"/>
        <w:rPr>
          <w:rFonts w:eastAsia="Times New Roman" w:cs="Times New Roman"/>
          <w:color w:val="000000"/>
          <w:szCs w:val="24"/>
        </w:rPr>
      </w:pPr>
    </w:p>
    <w:p w14:paraId="4AAA2ACE"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Prokuroru atestācijas komisija veic pretendenta izvērtēšanu, pamatojoties uz atlases gaitā iegūtajiem dokumentiem, vispārējo un juridisko zināšanu pārbaudījuma rezultātiem un pārrunām ar pretendentu. Prokuroru atestācijas komisija sniedz ģenerālprokuroram atzinumu par pretendenta atbilstību prokurora amata kandidāta statusam.</w:t>
      </w:r>
    </w:p>
    <w:p w14:paraId="7D38F607" w14:textId="77777777" w:rsidR="00214046" w:rsidRPr="00214046" w:rsidRDefault="00214046" w:rsidP="00214046">
      <w:pPr>
        <w:spacing w:after="0" w:line="240" w:lineRule="auto"/>
        <w:jc w:val="both"/>
        <w:rPr>
          <w:rFonts w:eastAsia="Times New Roman" w:cs="Times New Roman"/>
          <w:color w:val="000000"/>
          <w:szCs w:val="24"/>
        </w:rPr>
      </w:pPr>
    </w:p>
    <w:p w14:paraId="0D43588B"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Ģenerālprokurors iepazīstas ar Prokuroru atestācijas komisijas atzinumu, kā arī ar citiem dokumentiem par pretendentu, un, izvērtējot nepieciešamību komplektēt prokuroru štata vietas konkrētās prokuratūras struktūrvienībās, ar piemērotākajiem pretendentiem noslēdz stažēšanās līgumus. Stažēšanās līguma noslēgšanā un stažēšanās termiņa noteikšanā pēc iespējas ievēro, lai stažēšanās termiņa beigu dienā prokurora amata kandidāts būtu sasniedzis 25 gadu vecumu.</w:t>
      </w:r>
    </w:p>
    <w:p w14:paraId="6BA8727B" w14:textId="77777777" w:rsidR="00214046" w:rsidRPr="00214046" w:rsidRDefault="00214046" w:rsidP="00214046">
      <w:pPr>
        <w:spacing w:after="0" w:line="240" w:lineRule="auto"/>
        <w:jc w:val="both"/>
        <w:rPr>
          <w:rFonts w:eastAsia="Times New Roman" w:cs="Times New Roman"/>
          <w:color w:val="000000"/>
          <w:szCs w:val="24"/>
        </w:rPr>
      </w:pPr>
    </w:p>
    <w:p w14:paraId="383CDC69"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Stažēšanās līgums ar prokurora amata kandidātu var tikt noslēgts viena gada laikā no Prokuroru atestācijas komisijas atzinuma sniegšanas dienas. Ja šajā termiņā stažēšanās līgums netiek noslēgts, uzskatāms, ka pretendents nav izturējis prokurora amata kandidātu atlasi.</w:t>
      </w:r>
    </w:p>
    <w:p w14:paraId="11E06836" w14:textId="77777777" w:rsidR="00214046" w:rsidRPr="00214046" w:rsidRDefault="00214046" w:rsidP="00214046">
      <w:pPr>
        <w:spacing w:after="0" w:line="240" w:lineRule="auto"/>
        <w:jc w:val="both"/>
        <w:rPr>
          <w:rFonts w:eastAsia="Times New Roman" w:cs="Times New Roman"/>
          <w:color w:val="000000"/>
          <w:szCs w:val="24"/>
        </w:rPr>
      </w:pPr>
    </w:p>
    <w:p w14:paraId="690A9EB4"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Prokurora amata kandidāts stažējas vakantajā rajona (pilsētas) prokurora amata vietā saskaņā ar Prokuratūras likuma 33.</w:t>
      </w:r>
      <w:r w:rsidRPr="00214046">
        <w:rPr>
          <w:rFonts w:eastAsia="Times New Roman" w:cs="Times New Roman"/>
          <w:color w:val="000000"/>
          <w:szCs w:val="24"/>
          <w:vertAlign w:val="superscript"/>
          <w:lang w:eastAsia="lv-LV"/>
        </w:rPr>
        <w:t>2</w:t>
      </w:r>
      <w:r w:rsidRPr="00214046">
        <w:rPr>
          <w:rFonts w:eastAsia="Times New Roman" w:cs="Times New Roman"/>
          <w:color w:val="000000"/>
          <w:szCs w:val="24"/>
          <w:lang w:eastAsia="lv-LV"/>
        </w:rPr>
        <w:t xml:space="preserve"> panta un Prokurora amata kandidātu stažēšanās un kvalifikācijas pārbaudes nolikuma nosacījumiem.</w:t>
      </w:r>
    </w:p>
    <w:p w14:paraId="57775D58" w14:textId="77777777" w:rsidR="00214046" w:rsidRPr="00214046" w:rsidRDefault="00214046" w:rsidP="00214046">
      <w:pPr>
        <w:spacing w:after="0" w:line="240" w:lineRule="auto"/>
        <w:jc w:val="both"/>
        <w:rPr>
          <w:rFonts w:eastAsia="Times New Roman" w:cs="Times New Roman"/>
          <w:color w:val="000000"/>
          <w:szCs w:val="24"/>
        </w:rPr>
      </w:pPr>
    </w:p>
    <w:p w14:paraId="1944DFC6"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Par atlasi neizturējušu pretendentu uzskatāma persona, kura pieteikusies uz vakanto rajona (pilsētas) prokuratūras prokurora amata vietu, bet atlases rezultātā ar šo personu nav noslēgts stažēšanās līgums. Atlasi neizturējis pretendents netiek aicināts piedalīties turpmākajos atlases posmos.</w:t>
      </w:r>
    </w:p>
    <w:p w14:paraId="02496A80" w14:textId="77777777" w:rsidR="00214046" w:rsidRPr="00214046" w:rsidRDefault="00214046" w:rsidP="00214046">
      <w:pPr>
        <w:spacing w:after="0" w:line="240" w:lineRule="auto"/>
        <w:jc w:val="both"/>
        <w:rPr>
          <w:rFonts w:eastAsia="Times New Roman" w:cs="Times New Roman"/>
          <w:color w:val="000000"/>
          <w:szCs w:val="24"/>
        </w:rPr>
      </w:pPr>
    </w:p>
    <w:p w14:paraId="5587737C" w14:textId="77777777" w:rsidR="00214046" w:rsidRPr="00214046" w:rsidRDefault="00214046" w:rsidP="00214046">
      <w:pPr>
        <w:spacing w:after="0" w:line="240" w:lineRule="auto"/>
        <w:jc w:val="center"/>
        <w:rPr>
          <w:rFonts w:eastAsia="Times New Roman" w:cs="Times New Roman"/>
          <w:color w:val="000000"/>
          <w:szCs w:val="24"/>
        </w:rPr>
      </w:pPr>
      <w:r w:rsidRPr="00214046">
        <w:rPr>
          <w:rFonts w:eastAsia="Times New Roman" w:cs="Times New Roman"/>
          <w:color w:val="000000"/>
          <w:szCs w:val="24"/>
        </w:rPr>
        <w:t>III. VISPĀRĒJO UN JURIDISKO ZINĀŠANU PĀRBAUDĪJUMS</w:t>
      </w:r>
    </w:p>
    <w:p w14:paraId="486644B9" w14:textId="77777777" w:rsidR="00214046" w:rsidRPr="00214046" w:rsidRDefault="00214046" w:rsidP="00214046">
      <w:pPr>
        <w:spacing w:after="0" w:line="240" w:lineRule="auto"/>
        <w:jc w:val="both"/>
        <w:rPr>
          <w:rFonts w:eastAsia="Times New Roman" w:cs="Times New Roman"/>
          <w:color w:val="000000"/>
          <w:szCs w:val="24"/>
        </w:rPr>
      </w:pPr>
    </w:p>
    <w:p w14:paraId="16675489"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Vispārējo un juridisko zināšanu pārbaudījumam (turpmāk - pārbaudījumam) ir divas kārtas:</w:t>
      </w:r>
    </w:p>
    <w:p w14:paraId="1522D1C1" w14:textId="77777777" w:rsidR="00214046" w:rsidRPr="00214046" w:rsidRDefault="00214046" w:rsidP="00214046">
      <w:pPr>
        <w:spacing w:before="120" w:after="0" w:line="240" w:lineRule="auto"/>
        <w:ind w:left="360"/>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22.1. pirmā kārta - tests;</w:t>
      </w:r>
    </w:p>
    <w:p w14:paraId="73D5A59D" w14:textId="77777777" w:rsidR="00214046" w:rsidRPr="00214046" w:rsidRDefault="00214046" w:rsidP="00214046">
      <w:pPr>
        <w:spacing w:before="120" w:after="0" w:line="240" w:lineRule="auto"/>
        <w:ind w:left="360"/>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22.2. otrā kārta - biļetes jautājumi.</w:t>
      </w:r>
    </w:p>
    <w:p w14:paraId="663F6355" w14:textId="77777777" w:rsidR="00214046" w:rsidRPr="00214046" w:rsidRDefault="00214046" w:rsidP="00214046">
      <w:pPr>
        <w:spacing w:after="0" w:line="240" w:lineRule="auto"/>
        <w:jc w:val="both"/>
        <w:rPr>
          <w:rFonts w:eastAsia="Times New Roman" w:cs="Times New Roman"/>
          <w:color w:val="000000"/>
          <w:szCs w:val="24"/>
        </w:rPr>
      </w:pPr>
    </w:p>
    <w:p w14:paraId="28D291EA"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Testa jautājumu sagatavošanu organizē Ģenerālprokuratūras Darbības  kontroles un starptautiskās sadarbības departamenta virsprokurors, nodrošinot iespēju pārbaudījumā iekļaujamos testa jautājumus izvēlēties no lielāka sagatavoto jautājumu loka. Konkrētu jautājumu iekļaušanu testā organizē ģenerālprokurors.</w:t>
      </w:r>
    </w:p>
    <w:p w14:paraId="31349646" w14:textId="77777777" w:rsidR="00214046" w:rsidRPr="00214046" w:rsidRDefault="00214046" w:rsidP="00214046">
      <w:pPr>
        <w:spacing w:after="0" w:line="240" w:lineRule="auto"/>
        <w:jc w:val="both"/>
        <w:rPr>
          <w:rFonts w:eastAsia="Times New Roman" w:cs="Times New Roman"/>
          <w:color w:val="000000"/>
          <w:szCs w:val="24"/>
        </w:rPr>
      </w:pPr>
    </w:p>
    <w:p w14:paraId="4975D438"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Biļešu jautājumus izstrādā Prokuroru kvalifikācijas komisija un apstiprina ģenerālprokurors. Pēc biļešu jautājumu apstiprināšanas tie tiek publicēti prokuratūras mājaslapā internetā.</w:t>
      </w:r>
    </w:p>
    <w:p w14:paraId="485B4B8C" w14:textId="77777777" w:rsidR="00214046" w:rsidRPr="00214046" w:rsidRDefault="00214046" w:rsidP="00214046">
      <w:pPr>
        <w:spacing w:after="0" w:line="240" w:lineRule="auto"/>
        <w:jc w:val="both"/>
        <w:rPr>
          <w:rFonts w:eastAsia="Times New Roman" w:cs="Times New Roman"/>
          <w:color w:val="000000"/>
          <w:szCs w:val="24"/>
        </w:rPr>
      </w:pPr>
    </w:p>
    <w:p w14:paraId="716E2694"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 xml:space="preserve">Pasākumus, kas saistīti ar pārbaudījuma organizēšanu, nodrošina viena vai vairākas pilnvarotās amatpersonas. </w:t>
      </w:r>
    </w:p>
    <w:p w14:paraId="29CAEB1C" w14:textId="77777777" w:rsidR="00214046" w:rsidRPr="00214046" w:rsidRDefault="00214046" w:rsidP="00214046">
      <w:pPr>
        <w:spacing w:after="0" w:line="240" w:lineRule="auto"/>
        <w:jc w:val="both"/>
        <w:rPr>
          <w:rFonts w:eastAsia="Times New Roman" w:cs="Times New Roman"/>
          <w:color w:val="000000"/>
          <w:szCs w:val="24"/>
        </w:rPr>
      </w:pPr>
    </w:p>
    <w:p w14:paraId="68AA6803"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Pārbaudījuma norisi vada un pretendenta zināšanu izvērtēšanu veic Prokuroru kvalifikācijas komisija.</w:t>
      </w:r>
    </w:p>
    <w:p w14:paraId="6C6528EF" w14:textId="77777777" w:rsidR="00214046" w:rsidRPr="00214046" w:rsidRDefault="00214046" w:rsidP="00214046">
      <w:pPr>
        <w:spacing w:after="0" w:line="240" w:lineRule="auto"/>
        <w:jc w:val="both"/>
        <w:rPr>
          <w:rFonts w:eastAsia="Times New Roman" w:cs="Times New Roman"/>
          <w:color w:val="000000"/>
          <w:szCs w:val="24"/>
        </w:rPr>
      </w:pPr>
    </w:p>
    <w:p w14:paraId="7FE03D99"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Pirms pārbaudījuma veikšanas pretendents uzrāda Latvijas pilsoņa pasi vai personas apliecību (</w:t>
      </w:r>
      <w:proofErr w:type="spellStart"/>
      <w:r w:rsidRPr="00214046">
        <w:rPr>
          <w:rFonts w:eastAsia="Times New Roman" w:cs="Times New Roman"/>
          <w:color w:val="000000"/>
          <w:szCs w:val="24"/>
          <w:lang w:eastAsia="lv-LV"/>
        </w:rPr>
        <w:t>eID</w:t>
      </w:r>
      <w:proofErr w:type="spellEnd"/>
      <w:r w:rsidRPr="00214046">
        <w:rPr>
          <w:rFonts w:eastAsia="Times New Roman" w:cs="Times New Roman"/>
          <w:color w:val="000000"/>
          <w:szCs w:val="24"/>
          <w:lang w:eastAsia="lv-LV"/>
        </w:rPr>
        <w:t xml:space="preserve"> karti). Katram pretendentam tiek piešķirts identifikācijas numurs, ar kuru pārbaudījuma rezultātu sarakstos tiek aizstāti pretendenta personas dati.</w:t>
      </w:r>
    </w:p>
    <w:p w14:paraId="58A8229F" w14:textId="77777777" w:rsidR="00214046" w:rsidRPr="00214046" w:rsidRDefault="00214046" w:rsidP="00214046">
      <w:pPr>
        <w:spacing w:after="0" w:line="240" w:lineRule="auto"/>
        <w:jc w:val="both"/>
        <w:rPr>
          <w:rFonts w:eastAsia="Times New Roman" w:cs="Times New Roman"/>
          <w:color w:val="000000"/>
          <w:szCs w:val="24"/>
        </w:rPr>
      </w:pPr>
    </w:p>
    <w:p w14:paraId="45451A55"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Pārbaudījumu pretendents kārto rakstveidā. Pārbaudījuma laikā pretendentam nav atļauts izmantot likumus, citus normatīvos aktus, kā arī palīgmateriālus.</w:t>
      </w:r>
    </w:p>
    <w:p w14:paraId="0710104A" w14:textId="77777777" w:rsidR="00214046" w:rsidRPr="00214046" w:rsidRDefault="00214046" w:rsidP="00214046">
      <w:pPr>
        <w:spacing w:after="0" w:line="240" w:lineRule="auto"/>
        <w:jc w:val="both"/>
        <w:rPr>
          <w:rFonts w:eastAsia="Times New Roman" w:cs="Times New Roman"/>
          <w:color w:val="000000"/>
          <w:szCs w:val="24"/>
        </w:rPr>
      </w:pPr>
    </w:p>
    <w:p w14:paraId="0E4D9F75"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Pārbaudījuma pirmajā kārtā pretendents izpilda testu, atzīmējot pareizās atbildes uz 40 testa jautājumiem. Pārbaudījuma pirmajai kārtai paredzētais laiks nepārsniedz 40 minūtes.</w:t>
      </w:r>
    </w:p>
    <w:p w14:paraId="52EB044C" w14:textId="77777777" w:rsidR="00214046" w:rsidRPr="00214046" w:rsidRDefault="00214046" w:rsidP="00214046">
      <w:pPr>
        <w:spacing w:after="0" w:line="240" w:lineRule="auto"/>
        <w:jc w:val="both"/>
        <w:rPr>
          <w:rFonts w:eastAsia="Times New Roman" w:cs="Times New Roman"/>
          <w:color w:val="000000"/>
          <w:szCs w:val="24"/>
        </w:rPr>
      </w:pPr>
    </w:p>
    <w:p w14:paraId="1D10CBAD"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Par katru pareizi atbildētu testa jautājumu pretendents saņem vienu punktu. Pārbaudījuma pirmajā kārtā iegūtais vērtējums pretendentam tiek paziņots triju darba dienu laikā no šīs pārbaudījuma kārtas pabeigšanas brīža, ievietojot rezultātu sarakstu prokuratūras mājaslapā internetā. Vienlaicīgi prokuratūras mājaslapā internetā tiek paziņota pārbaudījuma otrās kārtas norises vieta, datums un laiks. Pretendents, kura atbildes pārbaudījuma pirmajā kārtā novērtētas zemāk par 30 punktiem, pie pārbaudījuma otrās kārtas netiek pielaists.</w:t>
      </w:r>
    </w:p>
    <w:p w14:paraId="28626D30" w14:textId="77777777" w:rsidR="00214046" w:rsidRPr="00214046" w:rsidRDefault="00214046" w:rsidP="00214046">
      <w:pPr>
        <w:spacing w:after="0" w:line="240" w:lineRule="auto"/>
        <w:jc w:val="both"/>
        <w:rPr>
          <w:rFonts w:eastAsia="Times New Roman" w:cs="Times New Roman"/>
          <w:color w:val="000000"/>
          <w:szCs w:val="24"/>
        </w:rPr>
      </w:pPr>
    </w:p>
    <w:p w14:paraId="63038CE6"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Pārbaudījuma otrajā kārtā pretendents izvēlas vienu biļeti, kas sastāv no trīs jautājumiem (1.jautājums - krimināltiesībās, 2.jautājums - kriminālprocesa tiesībās, 3.jautājums - citā tiesību nozarē). Katrs jautājums var sastāvēt no vairākām daļām. Atbildēm uz biļetes jautājumiem paredzētais laiks nepārsniedz 90 minūtes.</w:t>
      </w:r>
    </w:p>
    <w:p w14:paraId="1A4131D1" w14:textId="77777777" w:rsidR="00214046" w:rsidRPr="00214046" w:rsidRDefault="00214046" w:rsidP="00214046">
      <w:pPr>
        <w:spacing w:after="0" w:line="240" w:lineRule="auto"/>
        <w:jc w:val="both"/>
        <w:rPr>
          <w:rFonts w:eastAsia="Times New Roman" w:cs="Times New Roman"/>
          <w:color w:val="000000"/>
          <w:szCs w:val="24"/>
        </w:rPr>
      </w:pPr>
    </w:p>
    <w:p w14:paraId="5220E5BB"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Pretendenta atbildes uz biļetes jautājumiem tiek vērtētas četru punktu sistēmā (4 - "teicami", 3 - "labi", 2 - "vidēji", 1 - "vāji"), sniedzot vērtējumu par katru biļetes jautājumu atsevišķi. Ja kādā no atbildēm pretendenta zināšanas novērtētas zemāk par diviem punktiem, pārbaudījums uzskatāms par nenokārtotu. Pārbaudījums uzskatāms par sekmīgi nokārtotu, ja pretendenta atbildes novērtētas ar sešiem punktiem vai augstāk.</w:t>
      </w:r>
    </w:p>
    <w:p w14:paraId="531A29B9" w14:textId="77777777" w:rsidR="00214046" w:rsidRPr="00214046" w:rsidRDefault="00214046" w:rsidP="00214046">
      <w:pPr>
        <w:spacing w:after="0" w:line="240" w:lineRule="auto"/>
        <w:jc w:val="both"/>
        <w:rPr>
          <w:rFonts w:eastAsia="Times New Roman" w:cs="Times New Roman"/>
          <w:color w:val="000000"/>
          <w:szCs w:val="24"/>
        </w:rPr>
      </w:pPr>
    </w:p>
    <w:p w14:paraId="2DBF828A"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Pārbaudījuma otrajā kārtā iegūtais vērtējums pretendentam tiek paziņots piecu darba dienu laikā no pārbaudījuma otrās kārtas norises dienas, ievietojot rezultātu sarakstu prokuratūras mājaslapā internetā. Vienlaicīgi prokuratūras mājaslapā internetā tiek paziņota šī nolikuma 10.punktā minēto dokumentu iesniegšanas vieta, datums un laiks, nodrošinot pretendentam ne mazāk kā piecu darba dienu termiņu dokumentu iesniegšanai.</w:t>
      </w:r>
    </w:p>
    <w:p w14:paraId="26FFA3ED" w14:textId="77777777" w:rsidR="00214046" w:rsidRPr="00214046" w:rsidRDefault="00214046" w:rsidP="00214046">
      <w:pPr>
        <w:spacing w:after="0" w:line="240" w:lineRule="auto"/>
        <w:jc w:val="both"/>
        <w:rPr>
          <w:rFonts w:eastAsia="Times New Roman" w:cs="Times New Roman"/>
          <w:color w:val="000000"/>
          <w:szCs w:val="24"/>
        </w:rPr>
      </w:pPr>
    </w:p>
    <w:p w14:paraId="384092FD"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Pretendentam ir tiesības iepazīties ar Prokuroru kvalifikācijas komisijas sēdes protokolu un viņa sniegtajām atbildēm testā un biļetes jautājumos.</w:t>
      </w:r>
    </w:p>
    <w:p w14:paraId="2053D039" w14:textId="77777777" w:rsidR="00214046" w:rsidRPr="00214046" w:rsidRDefault="00214046" w:rsidP="00214046">
      <w:pPr>
        <w:spacing w:after="0" w:line="240" w:lineRule="auto"/>
        <w:jc w:val="both"/>
        <w:rPr>
          <w:rFonts w:eastAsia="Times New Roman" w:cs="Times New Roman"/>
          <w:color w:val="000000"/>
          <w:szCs w:val="24"/>
        </w:rPr>
      </w:pPr>
    </w:p>
    <w:p w14:paraId="4A67EC27"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Pretendentus, kuri sekmīgi nokārtojuši pārbaudījumu, Prokuroru kvalifikācijas komisija ar savu lēmumu rekomendē izvērtēšanai Prokuroru atestācijas komisijā.</w:t>
      </w:r>
    </w:p>
    <w:p w14:paraId="0FDB7F05" w14:textId="77777777" w:rsidR="00214046" w:rsidRPr="00214046" w:rsidRDefault="00214046" w:rsidP="00214046">
      <w:pPr>
        <w:spacing w:after="0" w:line="240" w:lineRule="auto"/>
        <w:jc w:val="both"/>
        <w:rPr>
          <w:rFonts w:eastAsia="Times New Roman" w:cs="Times New Roman"/>
          <w:color w:val="000000"/>
          <w:szCs w:val="24"/>
        </w:rPr>
      </w:pPr>
    </w:p>
    <w:p w14:paraId="72A4970A"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4"/>
          <w:lang w:eastAsia="lv-LV"/>
        </w:rPr>
        <w:t xml:space="preserve">Prokuroru kvalifikācijas komisijas vērtējumu un lēmumu pretendents var pārsūdzēt ģenerālprokuroram triju darba dienu laikā no dienas, kad paziņots pārbaudījuma otrajā kārtā iegūtais vērtējums. Sūdzībā minētos faktus ģenerālprokurors uzdod pārbaudīt trīs Ģenerālprokurora padomes locekļiem, kuriem piecu darba dienu laikā par veiktās pārbaudes rezultātiem jāinformē ģenerālprokurors. Ja ģenerālprokurors atzīst sūdzību par pamatotu, viņš lemj par atkārtota pārbaudījuma organizēšanu pretendentam. </w:t>
      </w:r>
    </w:p>
    <w:p w14:paraId="2F434BA0" w14:textId="77777777" w:rsidR="00214046" w:rsidRPr="00214046" w:rsidRDefault="00214046" w:rsidP="00214046">
      <w:pPr>
        <w:spacing w:after="0" w:line="240" w:lineRule="auto"/>
        <w:jc w:val="both"/>
        <w:rPr>
          <w:rFonts w:eastAsia="Times New Roman" w:cs="Times New Roman"/>
          <w:color w:val="000000"/>
          <w:szCs w:val="24"/>
        </w:rPr>
      </w:pPr>
    </w:p>
    <w:p w14:paraId="43B90FAB" w14:textId="77777777" w:rsidR="00214046" w:rsidRPr="00214046" w:rsidRDefault="00214046" w:rsidP="00214046">
      <w:pPr>
        <w:spacing w:after="0" w:line="240" w:lineRule="auto"/>
        <w:jc w:val="center"/>
        <w:rPr>
          <w:rFonts w:eastAsia="Times New Roman" w:cs="Times New Roman"/>
          <w:color w:val="000000"/>
          <w:szCs w:val="24"/>
        </w:rPr>
      </w:pPr>
      <w:r w:rsidRPr="00214046">
        <w:rPr>
          <w:rFonts w:eastAsia="Times New Roman" w:cs="Times New Roman"/>
          <w:color w:val="000000"/>
          <w:szCs w:val="24"/>
        </w:rPr>
        <w:t>IV. CITI NOTEIKUMI</w:t>
      </w:r>
    </w:p>
    <w:p w14:paraId="2D9AE518" w14:textId="77777777" w:rsidR="00214046" w:rsidRPr="00214046" w:rsidRDefault="00214046" w:rsidP="00214046">
      <w:pPr>
        <w:spacing w:after="0" w:line="240" w:lineRule="auto"/>
        <w:jc w:val="both"/>
        <w:rPr>
          <w:rFonts w:eastAsia="Times New Roman" w:cs="Times New Roman"/>
          <w:color w:val="000000"/>
          <w:szCs w:val="24"/>
        </w:rPr>
      </w:pPr>
    </w:p>
    <w:p w14:paraId="2A53989F" w14:textId="77777777" w:rsidR="00214046" w:rsidRPr="00214046" w:rsidRDefault="00214046" w:rsidP="00214046">
      <w:pPr>
        <w:numPr>
          <w:ilvl w:val="0"/>
          <w:numId w:val="1"/>
        </w:numPr>
        <w:spacing w:after="0" w:line="240" w:lineRule="auto"/>
        <w:contextualSpacing/>
        <w:jc w:val="both"/>
        <w:rPr>
          <w:rFonts w:eastAsia="Times New Roman" w:cs="Times New Roman"/>
          <w:color w:val="000000"/>
          <w:szCs w:val="24"/>
          <w:lang w:eastAsia="lv-LV"/>
        </w:rPr>
      </w:pPr>
      <w:r w:rsidRPr="00214046">
        <w:rPr>
          <w:rFonts w:eastAsia="Times New Roman" w:cs="Times New Roman"/>
          <w:color w:val="000000"/>
          <w:szCs w:val="20"/>
          <w:lang w:eastAsia="lv-LV"/>
        </w:rPr>
        <w:t>Šī nolikuma 9.2. punktā noteiktajā gadījumā</w:t>
      </w:r>
      <w:r w:rsidRPr="00214046">
        <w:rPr>
          <w:rFonts w:eastAsia="Times New Roman" w:cs="Times New Roman"/>
          <w:color w:val="000000"/>
          <w:szCs w:val="24"/>
          <w:lang w:eastAsia="lv-LV"/>
        </w:rPr>
        <w:t xml:space="preserve"> uz vakanto rajona (pilsētas) prokuratūras prokurora amata vietu var pieteikties ārpus šī nolikuma 5. punktā noteiktā sludinājuma publicēšanas viena gada laikā no diploma izsniegšanas datuma.</w:t>
      </w:r>
    </w:p>
    <w:p w14:paraId="6412C980" w14:textId="77777777" w:rsidR="00214046" w:rsidRPr="00214046" w:rsidRDefault="00214046" w:rsidP="00214046">
      <w:pPr>
        <w:numPr>
          <w:ilvl w:val="0"/>
          <w:numId w:val="1"/>
        </w:numPr>
        <w:spacing w:after="0" w:line="240" w:lineRule="auto"/>
        <w:jc w:val="both"/>
        <w:rPr>
          <w:rFonts w:eastAsia="Times New Roman" w:cs="Times New Roman"/>
          <w:szCs w:val="24"/>
        </w:rPr>
      </w:pPr>
      <w:r w:rsidRPr="00214046">
        <w:rPr>
          <w:rFonts w:eastAsia="Times New Roman" w:cs="Times New Roman"/>
          <w:color w:val="000000"/>
          <w:szCs w:val="24"/>
        </w:rPr>
        <w:t>Ar šī nolikuma apstiprināšanu spēku zaudē ar Ģenerālprokurora padomes 2018. gada 18. jūnija lēmumu Nr. 6 pieņemtais Prokurora amata kandidātu atlases nolikums.</w:t>
      </w:r>
    </w:p>
    <w:p w14:paraId="3FC9271D" w14:textId="77777777" w:rsidR="00214046" w:rsidRPr="00214046" w:rsidRDefault="00214046" w:rsidP="00214046">
      <w:pPr>
        <w:spacing w:after="0" w:line="240" w:lineRule="auto"/>
        <w:ind w:left="360"/>
        <w:jc w:val="both"/>
        <w:rPr>
          <w:rFonts w:eastAsia="Times New Roman" w:cs="Times New Roman"/>
          <w:szCs w:val="24"/>
        </w:rPr>
      </w:pPr>
    </w:p>
    <w:p w14:paraId="22EE67CB" w14:textId="77777777" w:rsidR="00214046" w:rsidRPr="00214046" w:rsidRDefault="00214046" w:rsidP="00214046">
      <w:pPr>
        <w:spacing w:before="480" w:after="0" w:line="240" w:lineRule="auto"/>
        <w:jc w:val="center"/>
        <w:rPr>
          <w:rFonts w:eastAsia="Times New Roman" w:cs="Times New Roman"/>
          <w:sz w:val="26"/>
          <w:szCs w:val="26"/>
        </w:rPr>
      </w:pPr>
      <w:r w:rsidRPr="00214046">
        <w:rPr>
          <w:rFonts w:eastAsia="Times New Roman" w:cs="Times New Roman"/>
          <w:sz w:val="26"/>
          <w:szCs w:val="26"/>
        </w:rPr>
        <w:t>DOKUMENTS IR PARAKSTĪTS AR DROŠU ELEKTRONISKO PARAKSTU</w:t>
      </w:r>
    </w:p>
    <w:p w14:paraId="2F108B92" w14:textId="77777777" w:rsidR="00214046" w:rsidRPr="00214046" w:rsidRDefault="00214046" w:rsidP="00214046">
      <w:pPr>
        <w:spacing w:after="0" w:line="240" w:lineRule="auto"/>
        <w:jc w:val="center"/>
        <w:rPr>
          <w:rFonts w:eastAsia="Times New Roman" w:cs="Times New Roman"/>
          <w:sz w:val="26"/>
          <w:szCs w:val="26"/>
        </w:rPr>
      </w:pPr>
      <w:r w:rsidRPr="00214046">
        <w:rPr>
          <w:rFonts w:eastAsia="Times New Roman" w:cs="Times New Roman"/>
          <w:sz w:val="26"/>
          <w:szCs w:val="26"/>
        </w:rPr>
        <w:t>UN SATUR LAIKA ZĪMOGU</w:t>
      </w:r>
    </w:p>
    <w:p w14:paraId="5D5CEE9F" w14:textId="77777777" w:rsidR="00873BCC" w:rsidRDefault="00873BCC"/>
    <w:sectPr w:rsidR="00873BCC" w:rsidSect="00CB75A2">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2406" w14:textId="77777777" w:rsidR="00D13B60" w:rsidRDefault="00D13B60" w:rsidP="00214046">
      <w:pPr>
        <w:spacing w:after="0" w:line="240" w:lineRule="auto"/>
      </w:pPr>
      <w:r>
        <w:separator/>
      </w:r>
    </w:p>
  </w:endnote>
  <w:endnote w:type="continuationSeparator" w:id="0">
    <w:p w14:paraId="25761E49" w14:textId="77777777" w:rsidR="00D13B60" w:rsidRDefault="00D13B60" w:rsidP="0021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87039"/>
      <w:docPartObj>
        <w:docPartGallery w:val="Page Numbers (Bottom of Page)"/>
        <w:docPartUnique/>
      </w:docPartObj>
    </w:sdtPr>
    <w:sdtEndPr>
      <w:rPr>
        <w:noProof/>
      </w:rPr>
    </w:sdtEndPr>
    <w:sdtContent>
      <w:p w14:paraId="0C320BE8" w14:textId="42C93326" w:rsidR="00214046" w:rsidRDefault="002140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B21A3" w14:textId="77777777" w:rsidR="00214046" w:rsidRDefault="0021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59F1" w14:textId="77777777" w:rsidR="00D13B60" w:rsidRDefault="00D13B60" w:rsidP="00214046">
      <w:pPr>
        <w:spacing w:after="0" w:line="240" w:lineRule="auto"/>
      </w:pPr>
      <w:r>
        <w:separator/>
      </w:r>
    </w:p>
  </w:footnote>
  <w:footnote w:type="continuationSeparator" w:id="0">
    <w:p w14:paraId="2E0F8C25" w14:textId="77777777" w:rsidR="00D13B60" w:rsidRDefault="00D13B60" w:rsidP="00214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BBB"/>
    <w:multiLevelType w:val="multilevel"/>
    <w:tmpl w:val="F064CC40"/>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2224352"/>
    <w:multiLevelType w:val="multilevel"/>
    <w:tmpl w:val="EF0A092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59F0330"/>
    <w:multiLevelType w:val="multilevel"/>
    <w:tmpl w:val="D59C3E5A"/>
    <w:lvl w:ilvl="0">
      <w:start w:val="1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8C07FE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46"/>
    <w:rsid w:val="00214046"/>
    <w:rsid w:val="003D361C"/>
    <w:rsid w:val="00873BCC"/>
    <w:rsid w:val="00B51958"/>
    <w:rsid w:val="00CB75A2"/>
    <w:rsid w:val="00D13B60"/>
    <w:rsid w:val="00D81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955F"/>
  <w15:chartTrackingRefBased/>
  <w15:docId w15:val="{BE5725C4-A68F-4AA7-AA59-272A34C8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4046"/>
  </w:style>
  <w:style w:type="paragraph" w:styleId="Footer">
    <w:name w:val="footer"/>
    <w:basedOn w:val="Normal"/>
    <w:link w:val="FooterChar"/>
    <w:uiPriority w:val="99"/>
    <w:unhideWhenUsed/>
    <w:rsid w:val="002140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54C5-26EA-4185-B2D7-9E386ECF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8752</Words>
  <Characters>4989</Characters>
  <Application>Microsoft Office Word</Application>
  <DocSecurity>0</DocSecurity>
  <Lines>41</Lines>
  <Paragraphs>27</Paragraphs>
  <ScaleCrop>false</ScaleCrop>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Jurkjāne</dc:creator>
  <cp:keywords/>
  <dc:description/>
  <cp:lastModifiedBy>Elita Jurkjāne</cp:lastModifiedBy>
  <cp:revision>1</cp:revision>
  <dcterms:created xsi:type="dcterms:W3CDTF">2021-08-10T09:14:00Z</dcterms:created>
  <dcterms:modified xsi:type="dcterms:W3CDTF">2021-08-10T09:17:00Z</dcterms:modified>
</cp:coreProperties>
</file>