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drawings/drawing2.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drawings/drawing3.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drawings/drawing4.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drawings/drawing5.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drawings/drawing6.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2439" w14:textId="77777777" w:rsidR="00843DA3" w:rsidRPr="00843DA3" w:rsidRDefault="00843DA3" w:rsidP="00843DA3">
      <w:pPr>
        <w:spacing w:after="0" w:line="240" w:lineRule="auto"/>
        <w:jc w:val="center"/>
        <w:rPr>
          <w:rFonts w:eastAsia="Calibri" w:cs="Arial"/>
          <w:b/>
          <w:bCs/>
          <w:sz w:val="32"/>
          <w:szCs w:val="32"/>
        </w:rPr>
      </w:pPr>
      <w:r w:rsidRPr="00843DA3">
        <w:rPr>
          <w:rFonts w:eastAsia="Calibri" w:cs="Arial"/>
          <w:b/>
          <w:bCs/>
          <w:sz w:val="32"/>
          <w:szCs w:val="32"/>
        </w:rPr>
        <w:t xml:space="preserve">Prokuratūras galvenie darba statistiskie rādītāji </w:t>
      </w:r>
    </w:p>
    <w:p w14:paraId="79888A4D" w14:textId="77777777" w:rsidR="00843DA3" w:rsidRPr="00843DA3" w:rsidRDefault="00843DA3" w:rsidP="00843DA3">
      <w:pPr>
        <w:spacing w:after="0" w:line="240" w:lineRule="auto"/>
        <w:jc w:val="center"/>
        <w:rPr>
          <w:rFonts w:eastAsia="Calibri" w:cs="Arial"/>
          <w:b/>
          <w:bCs/>
          <w:sz w:val="32"/>
          <w:szCs w:val="32"/>
        </w:rPr>
      </w:pPr>
      <w:r w:rsidRPr="00843DA3">
        <w:rPr>
          <w:rFonts w:eastAsia="Calibri" w:cs="Arial"/>
          <w:b/>
          <w:bCs/>
          <w:sz w:val="32"/>
          <w:szCs w:val="32"/>
        </w:rPr>
        <w:t>krimināltiesiskā jomā valstī kopumā</w:t>
      </w:r>
    </w:p>
    <w:p w14:paraId="062EA5E3" w14:textId="77777777" w:rsidR="00843DA3" w:rsidRPr="00843DA3" w:rsidRDefault="00843DA3" w:rsidP="00843DA3">
      <w:pPr>
        <w:spacing w:after="0" w:line="240" w:lineRule="auto"/>
        <w:jc w:val="center"/>
        <w:rPr>
          <w:rFonts w:eastAsia="Calibri" w:cs="Arial"/>
          <w:b/>
          <w:bCs/>
          <w:sz w:val="32"/>
          <w:szCs w:val="32"/>
        </w:rPr>
      </w:pPr>
      <w:r w:rsidRPr="00843DA3">
        <w:rPr>
          <w:rFonts w:eastAsia="Calibri" w:cs="Arial"/>
          <w:b/>
          <w:bCs/>
          <w:sz w:val="32"/>
          <w:szCs w:val="32"/>
        </w:rPr>
        <w:t>(salīdzinājums 3 gadu periodā)</w:t>
      </w:r>
    </w:p>
    <w:p w14:paraId="469E96F5" w14:textId="77777777" w:rsidR="00843DA3" w:rsidRPr="00843DA3" w:rsidRDefault="00843DA3" w:rsidP="00843DA3">
      <w:pPr>
        <w:spacing w:after="0" w:line="240" w:lineRule="auto"/>
        <w:jc w:val="center"/>
        <w:rPr>
          <w:rFonts w:eastAsia="Calibri" w:cs="Arial"/>
          <w:b/>
          <w:bCs/>
          <w:sz w:val="28"/>
          <w:szCs w:val="28"/>
        </w:rPr>
      </w:pPr>
    </w:p>
    <w:p w14:paraId="4D121643" w14:textId="77777777" w:rsidR="00843DA3" w:rsidRPr="00843DA3" w:rsidRDefault="00843DA3" w:rsidP="00843DA3">
      <w:pPr>
        <w:spacing w:after="0" w:line="240" w:lineRule="auto"/>
        <w:jc w:val="center"/>
        <w:rPr>
          <w:rFonts w:eastAsia="Calibri" w:cs="Arial"/>
          <w:b/>
          <w:bCs/>
          <w:sz w:val="28"/>
          <w:szCs w:val="24"/>
        </w:rPr>
      </w:pPr>
      <w:r w:rsidRPr="00843DA3">
        <w:rPr>
          <w:rFonts w:eastAsia="Calibri" w:cs="Arial"/>
          <w:noProof/>
        </w:rPr>
        <w:drawing>
          <wp:inline distT="0" distB="0" distL="0" distR="0" wp14:anchorId="50D7C904" wp14:editId="01478A47">
            <wp:extent cx="5022850" cy="1615440"/>
            <wp:effectExtent l="0" t="0" r="6350" b="381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9ECD956" w14:textId="77777777" w:rsidR="00843DA3" w:rsidRPr="00843DA3" w:rsidRDefault="00843DA3" w:rsidP="00843DA3">
      <w:pPr>
        <w:spacing w:after="0" w:line="240" w:lineRule="auto"/>
        <w:jc w:val="center"/>
        <w:rPr>
          <w:rFonts w:eastAsia="Calibri" w:cs="Arial"/>
          <w:b/>
          <w:bCs/>
          <w:sz w:val="28"/>
          <w:szCs w:val="24"/>
        </w:rPr>
      </w:pPr>
    </w:p>
    <w:p w14:paraId="1E5A9FA5" w14:textId="77777777" w:rsidR="00843DA3" w:rsidRPr="00843DA3" w:rsidRDefault="00843DA3" w:rsidP="00843DA3">
      <w:pPr>
        <w:spacing w:after="0"/>
        <w:jc w:val="center"/>
        <w:rPr>
          <w:rFonts w:eastAsia="Calibri" w:cs="Arial"/>
        </w:rPr>
      </w:pPr>
      <w:r w:rsidRPr="00843DA3">
        <w:rPr>
          <w:rFonts w:eastAsia="Calibri" w:cs="Arial"/>
          <w:noProof/>
        </w:rPr>
        <w:drawing>
          <wp:inline distT="0" distB="0" distL="0" distR="0" wp14:anchorId="309087E2" wp14:editId="33B9A486">
            <wp:extent cx="5023023" cy="1519844"/>
            <wp:effectExtent l="0" t="0" r="6350" b="444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5AB49E5" w14:textId="77777777" w:rsidR="00843DA3" w:rsidRPr="00843DA3" w:rsidRDefault="00843DA3" w:rsidP="00843DA3">
      <w:pPr>
        <w:spacing w:after="0" w:line="240" w:lineRule="auto"/>
        <w:jc w:val="both"/>
        <w:rPr>
          <w:rFonts w:eastAsia="Calibri" w:cs="Arial"/>
        </w:rPr>
      </w:pPr>
    </w:p>
    <w:p w14:paraId="673E9E92"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 xml:space="preserve">Kopš 2014. gada valstī turpinās reģistrēto noziedzīgo nodarījumu skaita samazinājums. Līdz ar to samazinās arī uzsākto kriminālprocesu skaits. 2020. gadā kopumā uzsākti 36 756 kriminālprocesi, kurus prokurori pieņēmuši uzraudzībā un kuros tiek izmeklēti 38 767 noziedzīgi nodarījumi. Izskatot fizisku un juridisku personu iesniegumus un sūdzības, atceļot lēmumus par atteikšanos uzsākt kriminālprocesu, sadalot kriminālprocesus (vienlaicīgi uzsākot jaunu), 2020. gadā prokuratūrā uzsākti 584 kriminālprocesi. </w:t>
      </w:r>
    </w:p>
    <w:p w14:paraId="685632B5" w14:textId="77777777" w:rsidR="00843DA3" w:rsidRPr="00843DA3" w:rsidRDefault="00843DA3" w:rsidP="00843DA3">
      <w:pPr>
        <w:spacing w:after="0" w:line="240" w:lineRule="auto"/>
        <w:rPr>
          <w:rFonts w:eastAsia="Calibri" w:cs="Arial"/>
        </w:rPr>
      </w:pPr>
    </w:p>
    <w:p w14:paraId="4DE44AA1" w14:textId="77777777" w:rsidR="00843DA3" w:rsidRPr="00843DA3" w:rsidRDefault="00843DA3" w:rsidP="00843DA3">
      <w:pPr>
        <w:spacing w:after="0"/>
        <w:jc w:val="center"/>
        <w:rPr>
          <w:rFonts w:eastAsia="Calibri" w:cs="Arial"/>
        </w:rPr>
      </w:pPr>
      <w:r w:rsidRPr="00843DA3">
        <w:rPr>
          <w:rFonts w:eastAsia="Calibri" w:cs="Arial"/>
          <w:noProof/>
        </w:rPr>
        <w:drawing>
          <wp:inline distT="0" distB="0" distL="0" distR="0" wp14:anchorId="73E9693A" wp14:editId="5C76D5A2">
            <wp:extent cx="4965700" cy="1623060"/>
            <wp:effectExtent l="0" t="0" r="6350" b="15240"/>
            <wp:docPr id="133" name="Chart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A0FEC83" w14:textId="77777777" w:rsidR="00843DA3" w:rsidRPr="00843DA3" w:rsidRDefault="00843DA3" w:rsidP="00843DA3">
      <w:pPr>
        <w:spacing w:after="0" w:line="240" w:lineRule="auto"/>
        <w:jc w:val="both"/>
        <w:rPr>
          <w:rFonts w:eastAsia="Calibri" w:cs="Arial"/>
        </w:rPr>
      </w:pPr>
    </w:p>
    <w:p w14:paraId="5FF13840" w14:textId="77777777" w:rsidR="00843DA3" w:rsidRPr="00843DA3" w:rsidRDefault="00843DA3" w:rsidP="00843DA3">
      <w:pPr>
        <w:spacing w:after="0" w:line="240" w:lineRule="auto"/>
        <w:jc w:val="both"/>
        <w:rPr>
          <w:rFonts w:eastAsia="Times New Roman" w:cs="Arial"/>
          <w:szCs w:val="24"/>
          <w:lang w:eastAsia="lv-LV"/>
        </w:rPr>
      </w:pPr>
      <w:r w:rsidRPr="00843DA3">
        <w:rPr>
          <w:rFonts w:eastAsia="Calibri" w:cs="Arial"/>
        </w:rPr>
        <w:tab/>
      </w:r>
      <w:r w:rsidRPr="00843DA3">
        <w:rPr>
          <w:rFonts w:eastAsia="Calibri" w:cs="Arial"/>
          <w:szCs w:val="24"/>
        </w:rPr>
        <w:t xml:space="preserve">Analizējot statistiku, redzams, ka, lai arī turpina samazināties to materiālu skaits, kuros pēc prokuroru iniciatīvas pārbaudīta lēmumu par atteikšanos uzsākt kriminālprocesu likumība, tas joprojām ir liels. Pārbaudīto materiālu skaita samazinājums daļēji skaidrojams </w:t>
      </w:r>
      <w:r w:rsidRPr="00843DA3">
        <w:rPr>
          <w:rFonts w:eastAsia="Times New Roman" w:cs="Arial"/>
          <w:szCs w:val="24"/>
          <w:lang w:eastAsia="lv-LV"/>
        </w:rPr>
        <w:t>ar to, ka būtiski pieaug to gadījumu skaits, kad ar prokurora piekrišanu (prokurors jau pirms lēmuma pieņemšanas iesaistās materiāla pārbaudē) atteikts uzsākt kriminālprocesu par maznozīmīgu noziedzīgu nodarījumu (2020. gadā šādi lēmumi pieņemti 3434 gadījumos, savukārt 2019. gadā – 2637, bet 2018. gadā - 2031).</w:t>
      </w:r>
    </w:p>
    <w:p w14:paraId="4407E736" w14:textId="77777777" w:rsidR="00843DA3" w:rsidRPr="00843DA3" w:rsidRDefault="00843DA3" w:rsidP="00843DA3">
      <w:pPr>
        <w:spacing w:after="0" w:line="240" w:lineRule="auto"/>
        <w:jc w:val="both"/>
        <w:rPr>
          <w:rFonts w:eastAsia="Times New Roman" w:cs="Arial"/>
          <w:szCs w:val="24"/>
          <w:lang w:eastAsia="lv-LV"/>
        </w:rPr>
      </w:pPr>
      <w:r w:rsidRPr="00843DA3">
        <w:rPr>
          <w:rFonts w:eastAsia="Times New Roman" w:cs="Arial"/>
          <w:szCs w:val="24"/>
          <w:lang w:eastAsia="lv-LV"/>
        </w:rPr>
        <w:tab/>
        <w:t xml:space="preserve">Trīs gadu periodā turpina samazināties to gadījumu skaits, kad, pārbaudot lēmumu par atteikšanos uzsākt kriminālprocesu, tas tiek atcelts. Izskatot sūdzības vai pārbaudot atteikuma materiālus pēc savas iniciatīvas jeb bez saņemtas sūdzības, 2020. gadā prokuratūrā atcelti 1565, </w:t>
      </w:r>
      <w:r w:rsidRPr="00843DA3">
        <w:rPr>
          <w:rFonts w:eastAsia="Times New Roman" w:cs="Arial"/>
          <w:szCs w:val="24"/>
          <w:lang w:eastAsia="lv-LV"/>
        </w:rPr>
        <w:lastRenderedPageBreak/>
        <w:t>2019. gadā 2033, bet 2018. gadā 2154 izmeklēšanas iestāžu lēmumi, ar kuriem atteikts uzsākt kriminālprocesu.</w:t>
      </w:r>
    </w:p>
    <w:p w14:paraId="7E3DD509" w14:textId="77777777" w:rsidR="00843DA3" w:rsidRPr="00843DA3" w:rsidRDefault="00843DA3" w:rsidP="00843DA3">
      <w:pPr>
        <w:spacing w:after="0" w:line="240" w:lineRule="auto"/>
        <w:jc w:val="both"/>
        <w:rPr>
          <w:rFonts w:eastAsia="Times New Roman" w:cs="Arial"/>
          <w:szCs w:val="24"/>
          <w:lang w:eastAsia="lv-LV"/>
        </w:rPr>
      </w:pPr>
    </w:p>
    <w:p w14:paraId="2522B2FB" w14:textId="77777777" w:rsidR="00843DA3" w:rsidRPr="00843DA3" w:rsidRDefault="00843DA3" w:rsidP="00843DA3">
      <w:pPr>
        <w:spacing w:after="0"/>
        <w:jc w:val="center"/>
        <w:rPr>
          <w:rFonts w:eastAsia="Calibri" w:cs="Arial"/>
        </w:rPr>
      </w:pPr>
      <w:r w:rsidRPr="00843DA3">
        <w:rPr>
          <w:rFonts w:eastAsia="Calibri" w:cs="Arial"/>
          <w:noProof/>
        </w:rPr>
        <w:drawing>
          <wp:inline distT="0" distB="0" distL="0" distR="0" wp14:anchorId="55EE9E50" wp14:editId="3E3C4392">
            <wp:extent cx="4965700" cy="2415540"/>
            <wp:effectExtent l="0" t="0" r="6350" b="3810"/>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3912A3" w14:textId="77777777" w:rsidR="00843DA3" w:rsidRPr="00843DA3" w:rsidRDefault="00843DA3" w:rsidP="00843DA3">
      <w:pPr>
        <w:spacing w:after="0"/>
        <w:jc w:val="center"/>
        <w:rPr>
          <w:rFonts w:eastAsia="Calibri" w:cs="Arial"/>
        </w:rPr>
      </w:pPr>
    </w:p>
    <w:p w14:paraId="0B8CCDB0"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 xml:space="preserve">2019. – 2020. gadā būtiski pieaudzis prokuroru doto norādījumu skaits izmeklēšanas iestādēm kriminālprocesos par veicamajām procesuālajām un izmeklēšanas darbībām. Nolūkā veicināt iespējami ātrāku kriminālprocesu pabeigšanu, izpildot ģenerālprokurora rīkojumus par uzraudzības darba pastiprināšanu atsevišķu kategoriju lietās (ekonomiskie un </w:t>
      </w:r>
      <w:proofErr w:type="spellStart"/>
      <w:r w:rsidRPr="00843DA3">
        <w:rPr>
          <w:rFonts w:eastAsia="Calibri" w:cs="Arial"/>
        </w:rPr>
        <w:t>koruptīvie</w:t>
      </w:r>
      <w:proofErr w:type="spellEnd"/>
      <w:r w:rsidRPr="00843DA3">
        <w:rPr>
          <w:rFonts w:eastAsia="Calibri" w:cs="Arial"/>
        </w:rPr>
        <w:t xml:space="preserve"> noziedzīgie nodarījumi, kriminālprocesi, kuri uzsākti pēc Valsts kontroles materiāliem, kriminālprocesi, kuri ir </w:t>
      </w:r>
      <w:proofErr w:type="spellStart"/>
      <w:r w:rsidRPr="00843DA3">
        <w:rPr>
          <w:rFonts w:eastAsia="Calibri" w:cs="Arial"/>
        </w:rPr>
        <w:t>Iekšlietu</w:t>
      </w:r>
      <w:proofErr w:type="spellEnd"/>
      <w:r w:rsidRPr="00843DA3">
        <w:rPr>
          <w:rFonts w:eastAsia="Calibri" w:cs="Arial"/>
        </w:rPr>
        <w:t xml:space="preserve"> ministrijas Iekšējā drošības biroja lietvedībā,  kuri uzsākti par noziedzīgi iegūtu līdzekļu legalizēšanu u. c.), 2020. gadā  notikušas 434 (attiecīgi 2019. gadā – 418, 2018. gadā – 294) apspriedes ar kriminālprocesu veicošajām amatpersonām (amatā augstāki un uzraugošie prokurori, izmeklētāji, izmeklēšanas iestāžu struktūrvienību vadība) par kriminālprocesu virzību.</w:t>
      </w:r>
    </w:p>
    <w:p w14:paraId="33BB7D94"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2020. gadā būtiski pieaudzis to gadījumu skaits – 102 (attiecīgi 2019. gadā – 64, 2018. gadā – 69) –, kad speciālās izmeklēšanas darbības uzsāktas ar prokurora piekrišanu. Trīs gadu periodā būtiski nav mainījusies statistika par gadījumiem, kad kratīšanas veiktas ar prokurora piekrišanu (2020. gadā – 368 gadījumi, 2019. gadā – 396 gadījumi, 2018. gadā – 381 gadījums). Prokurors lemj par piekrišanas došanu kratīšanas izdarīšanai tikai neatliekamos gadījumos, kad novilcināšanas dēļ meklējamie priekšmeti vai dokumenti var tikt iznīcināti, noslēpti vai sabojāti vai arī meklējamā persona var aizbēgt.</w:t>
      </w:r>
    </w:p>
    <w:p w14:paraId="3ACD69C9"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2020. gadā virsprokurori pieņēmuši 1636 lēmumus par kriminālprocesu apvienošanu. 2019. gadā pieņemti 1630, bet 2018. gadā – 1555 šādi lēmumi.</w:t>
      </w:r>
    </w:p>
    <w:p w14:paraId="756027BF" w14:textId="77777777" w:rsidR="00843DA3" w:rsidRPr="00843DA3" w:rsidRDefault="00843DA3" w:rsidP="00843DA3">
      <w:pPr>
        <w:spacing w:after="0" w:line="240" w:lineRule="auto"/>
        <w:ind w:firstLine="720"/>
        <w:jc w:val="both"/>
        <w:rPr>
          <w:rFonts w:eastAsia="Calibri" w:cs="Arial"/>
        </w:rPr>
      </w:pPr>
    </w:p>
    <w:p w14:paraId="04E1C187" w14:textId="77777777" w:rsidR="00843DA3" w:rsidRPr="00843DA3" w:rsidRDefault="00843DA3" w:rsidP="00843DA3">
      <w:pPr>
        <w:spacing w:after="0"/>
        <w:jc w:val="center"/>
        <w:rPr>
          <w:rFonts w:eastAsia="Calibri" w:cs="Arial"/>
        </w:rPr>
      </w:pPr>
      <w:r w:rsidRPr="00843DA3">
        <w:rPr>
          <w:rFonts w:eastAsia="Calibri" w:cs="Arial"/>
          <w:noProof/>
        </w:rPr>
        <w:drawing>
          <wp:inline distT="0" distB="0" distL="0" distR="0" wp14:anchorId="28F91015" wp14:editId="75EAB983">
            <wp:extent cx="4993640" cy="1714500"/>
            <wp:effectExtent l="0" t="0" r="16510" b="0"/>
            <wp:docPr id="143" name="Chart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CA0453" w14:textId="77777777" w:rsidR="00843DA3" w:rsidRPr="00843DA3" w:rsidRDefault="00843DA3" w:rsidP="00843DA3">
      <w:pPr>
        <w:spacing w:after="0"/>
        <w:jc w:val="center"/>
        <w:rPr>
          <w:rFonts w:eastAsia="Calibri" w:cs="Arial"/>
        </w:rPr>
      </w:pPr>
    </w:p>
    <w:p w14:paraId="5814CB67"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 xml:space="preserve">Kriminālprocesa likuma 400. panta pirmā daļa paredz, ja kriminālprocesā ir veiktas nepieciešamās kriminālprocesuālās darbības un nav izdevies noskaidrot noziedzīgu nodarījumu izdarījušo personu, izmeklētājs ar uzraugošā prokurora piekrišanu var pieņemt lēmumu </w:t>
      </w:r>
      <w:r w:rsidRPr="00843DA3">
        <w:rPr>
          <w:rFonts w:eastAsia="Calibri" w:cs="Arial"/>
        </w:rPr>
        <w:lastRenderedPageBreak/>
        <w:t>rezolūcijas veidā par kriminālprocesa apturēšanu. Statistika liecina, ka šādi apturētu kriminālprocesu skaits 2019.–2020. gadā būtiski pieaudzis. Minētais izmeklēšanas iestādēm ļauj lielākus resursus veltīt aktīvā izmeklēšanā esošajiem kriminālprocesiem.</w:t>
      </w:r>
    </w:p>
    <w:p w14:paraId="30CC13CC" w14:textId="77777777" w:rsidR="00843DA3" w:rsidRPr="00843DA3" w:rsidRDefault="00843DA3" w:rsidP="00843DA3">
      <w:pPr>
        <w:spacing w:after="0" w:line="240" w:lineRule="auto"/>
        <w:ind w:firstLine="720"/>
        <w:jc w:val="both"/>
        <w:rPr>
          <w:rFonts w:eastAsia="Calibri" w:cs="Arial"/>
        </w:rPr>
      </w:pPr>
    </w:p>
    <w:p w14:paraId="202049BC" w14:textId="77777777" w:rsidR="00843DA3" w:rsidRPr="00843DA3" w:rsidRDefault="00843DA3" w:rsidP="00843DA3">
      <w:pPr>
        <w:spacing w:after="0"/>
        <w:jc w:val="center"/>
        <w:rPr>
          <w:rFonts w:eastAsia="Calibri" w:cs="Arial"/>
        </w:rPr>
      </w:pPr>
      <w:r w:rsidRPr="00843DA3">
        <w:rPr>
          <w:rFonts w:eastAsia="Calibri" w:cs="Arial"/>
          <w:noProof/>
        </w:rPr>
        <w:drawing>
          <wp:inline distT="0" distB="0" distL="0" distR="0" wp14:anchorId="48DBC628" wp14:editId="324DD834">
            <wp:extent cx="4838700" cy="2369820"/>
            <wp:effectExtent l="0" t="0" r="0" b="11430"/>
            <wp:docPr id="227" name="Chart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B975DC" w14:textId="77777777" w:rsidR="00843DA3" w:rsidRPr="00843DA3" w:rsidRDefault="00843DA3" w:rsidP="00843DA3">
      <w:pPr>
        <w:spacing w:after="0"/>
        <w:jc w:val="center"/>
        <w:rPr>
          <w:rFonts w:eastAsia="Calibri" w:cs="Arial"/>
        </w:rPr>
      </w:pPr>
    </w:p>
    <w:p w14:paraId="12EB341E"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2020. gadā prokuratūras struktūrvienības kopumā lietvedībā pieņēmušas 12 734 kriminālprocesus, tajā skaitā no izmeklēšanas iestādēm kriminālvajāšanas uzsākšanai 8870, atjaunojot 799 agrāk apturētos vai izbeigtos kriminālprocesus. 80 kriminālprocesus prokurori pārņēmuši no izmeklēšanas iestādēm, lai lemtu jautājumu par kriminālvajāšanas uzsākšanu.  2766 kriminālprocesi no izmeklēšanas iestādēm saņemti paātrinātā procesa kārtībā, tas ir, ne vēlāk kā 10 dienu laikā vai gadījumos, kad jāveic ekspertīze, ne vēlāk kā 30 dienu laikā no kriminālprocesa uzsākšanas brīža.</w:t>
      </w:r>
    </w:p>
    <w:p w14:paraId="643B2967"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 xml:space="preserve">Jāatzīmē, ka 2020. gadā turpina samazināties kriminālprocesu skaits, kuri nodoti atpakaļ izmeklēšanas iestādēm izmeklēšanas turpināšanai. 2020. gadā izmeklēšanas iestādēm atgriezts 91 kriminālprocess, savukārt 2019. gadā – 136, bet 2018. gadā – 153. Tāpat turpina samazināties kriminālprocesu skaits, kuros atteikta kriminālvajāšana un kriminālprocess izbeigts. 2020. gadā šādu gadījumu skaits – 113, savukārt 2019. gadā – 138, bet 2018. gadā – 166. </w:t>
      </w:r>
    </w:p>
    <w:p w14:paraId="4CB051B3" w14:textId="77777777" w:rsidR="00843DA3" w:rsidRPr="00843DA3" w:rsidRDefault="00843DA3" w:rsidP="00843DA3">
      <w:pPr>
        <w:spacing w:after="0" w:line="240" w:lineRule="auto"/>
        <w:ind w:firstLine="720"/>
        <w:jc w:val="both"/>
        <w:rPr>
          <w:rFonts w:eastAsia="Calibri" w:cs="Times New Roman"/>
          <w:szCs w:val="24"/>
        </w:rPr>
      </w:pPr>
      <w:r w:rsidRPr="00843DA3">
        <w:rPr>
          <w:rFonts w:eastAsia="Calibri" w:cs="Arial"/>
          <w:szCs w:val="24"/>
        </w:rPr>
        <w:t xml:space="preserve">Kriminālprocesu, kuri saņemti kriminālvajāšanai 2020. gadā, skaita samazinājums skaidrojams ar reģistrēto noziedzīgo nodarījumu (it īpaši kriminālpārkāpumu un mazāk smagu noziegumu) skaita samazinājumu, </w:t>
      </w:r>
      <w:r w:rsidRPr="00843DA3">
        <w:rPr>
          <w:rFonts w:eastAsia="Times New Roman" w:cs="Arial"/>
          <w:szCs w:val="24"/>
          <w:lang w:eastAsia="lv-LV"/>
        </w:rPr>
        <w:t>gan ar citiem objektīviem apstākļiem, piemēram, izmeklēšanas iestādēs rūpīgāk izsvērts kriminālprocesa uzsākšanas pamats,</w:t>
      </w:r>
      <w:r w:rsidRPr="00843DA3">
        <w:rPr>
          <w:rFonts w:eastAsia="Calibri" w:cs="Times New Roman"/>
          <w:bCs/>
          <w:szCs w:val="24"/>
        </w:rPr>
        <w:t xml:space="preserve"> aktīvāk tiek izmantots procesuālās ekonomijas instruments situācijās, kad ar noziedzīgu nodarījumu radītais mantiskais zaudējums ir maznozīmīgs, </w:t>
      </w:r>
      <w:r w:rsidRPr="00843DA3">
        <w:rPr>
          <w:rFonts w:eastAsia="Times New Roman" w:cs="Arial"/>
          <w:szCs w:val="24"/>
          <w:lang w:eastAsia="lv-LV"/>
        </w:rPr>
        <w:t xml:space="preserve">jo būtiski pieaudzis gadījumu skats, kad ar prokurora piekrišanu atteikts uzsākt kriminālprocesu par maznozīmīgiem noziedzīgiem nodarījumiem,  </w:t>
      </w:r>
      <w:r w:rsidRPr="00843DA3">
        <w:rPr>
          <w:rFonts w:eastAsia="Calibri" w:cs="Times New Roman"/>
          <w:szCs w:val="24"/>
        </w:rPr>
        <w:t>kā arī  Covid-19 pandēmijas ietekmi uz savlaicīgu nepieciešamo procesuālo un izmeklēšanas darbību veikšanu.</w:t>
      </w:r>
    </w:p>
    <w:p w14:paraId="233B0E7B" w14:textId="77777777" w:rsidR="00843DA3" w:rsidRPr="00843DA3" w:rsidRDefault="00843DA3" w:rsidP="00843DA3">
      <w:pPr>
        <w:spacing w:after="0" w:line="240" w:lineRule="auto"/>
        <w:ind w:firstLine="720"/>
        <w:jc w:val="both"/>
        <w:rPr>
          <w:rFonts w:eastAsia="Calibri" w:cs="Times New Roman"/>
          <w:szCs w:val="24"/>
        </w:rPr>
      </w:pPr>
    </w:p>
    <w:p w14:paraId="2BA73EFB" w14:textId="77777777" w:rsidR="00843DA3" w:rsidRPr="00843DA3" w:rsidRDefault="00843DA3" w:rsidP="00843DA3">
      <w:pPr>
        <w:spacing w:line="240" w:lineRule="auto"/>
        <w:jc w:val="center"/>
        <w:rPr>
          <w:rFonts w:eastAsia="Calibri" w:cs="Times New Roman"/>
          <w:szCs w:val="24"/>
        </w:rPr>
      </w:pPr>
      <w:r w:rsidRPr="00843DA3">
        <w:rPr>
          <w:rFonts w:eastAsia="Calibri" w:cs="Arial"/>
          <w:noProof/>
        </w:rPr>
        <w:drawing>
          <wp:inline distT="0" distB="0" distL="0" distR="0" wp14:anchorId="6F6C1D67" wp14:editId="21B0E272">
            <wp:extent cx="4853940" cy="1828800"/>
            <wp:effectExtent l="0" t="0" r="3810" b="0"/>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27E2CC" w14:textId="77777777" w:rsidR="00843DA3" w:rsidRPr="00843DA3" w:rsidRDefault="00843DA3" w:rsidP="00843DA3">
      <w:pPr>
        <w:spacing w:after="0" w:line="240" w:lineRule="auto"/>
        <w:ind w:firstLine="720"/>
        <w:jc w:val="both"/>
        <w:rPr>
          <w:rFonts w:eastAsia="Calibri" w:cs="Times New Roman"/>
          <w:szCs w:val="24"/>
        </w:rPr>
      </w:pPr>
      <w:r w:rsidRPr="00843DA3">
        <w:rPr>
          <w:rFonts w:eastAsia="Calibri" w:cs="Times New Roman"/>
          <w:szCs w:val="24"/>
        </w:rPr>
        <w:lastRenderedPageBreak/>
        <w:t xml:space="preserve">Vērtējot statistiku trīs gadu griezumā, būtiskas izmaiņas kopā prokuratūrā pabeigtajos kriminālprocesos nav vērojamas. Samazinājies tiesai nodoto krimināllietu skaits, bet pieaudzis prokuratūrā pabeigto kriminālprocesu skaits. Minētais rādītājs liecina par pozitīvu tendenci – pēc iespējas pabeigt kriminālprocesus prokuratūrā, nesūtot krimināllietas uz tiesu, tādējādi atslogojot tiesas darbu. Prokuratūrā nepabeigto kriminālprocesu atlikums uz gada beigām 2020. gadā būtiski samazinājies. 2020. gadā nepabeigto kriminālprocesu skaits – 362, savukārt 2019. gadā nepabeigti bija 490 kriminālprocesi, bet 2018. gadā – 486 kriminālprocesi. </w:t>
      </w:r>
    </w:p>
    <w:p w14:paraId="77348E1D" w14:textId="77777777" w:rsidR="00843DA3" w:rsidRPr="00843DA3" w:rsidRDefault="00843DA3" w:rsidP="00843DA3">
      <w:pPr>
        <w:spacing w:after="0" w:line="240" w:lineRule="auto"/>
        <w:ind w:firstLine="720"/>
        <w:jc w:val="both"/>
        <w:rPr>
          <w:rFonts w:eastAsia="Calibri" w:cs="Times New Roman"/>
          <w:szCs w:val="24"/>
        </w:rPr>
      </w:pPr>
    </w:p>
    <w:p w14:paraId="363CDEDB" w14:textId="77777777" w:rsidR="00843DA3" w:rsidRPr="00843DA3" w:rsidRDefault="00843DA3" w:rsidP="00843DA3">
      <w:pPr>
        <w:jc w:val="center"/>
        <w:rPr>
          <w:rFonts w:eastAsia="Calibri" w:cs="Arial"/>
        </w:rPr>
      </w:pPr>
      <w:r w:rsidRPr="00843DA3">
        <w:rPr>
          <w:rFonts w:eastAsia="Calibri" w:cs="Arial"/>
          <w:b/>
          <w:bCs/>
          <w:noProof/>
        </w:rPr>
        <w:drawing>
          <wp:inline distT="0" distB="0" distL="0" distR="0" wp14:anchorId="19EBE3CB" wp14:editId="098E94F4">
            <wp:extent cx="4797771" cy="2189018"/>
            <wp:effectExtent l="0" t="0" r="3175" b="1905"/>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3E35D3" w14:textId="77777777" w:rsidR="00843DA3" w:rsidRPr="00843DA3" w:rsidRDefault="00843DA3" w:rsidP="00843DA3">
      <w:pPr>
        <w:jc w:val="center"/>
        <w:rPr>
          <w:rFonts w:eastAsia="Calibri" w:cs="Arial"/>
        </w:rPr>
      </w:pPr>
      <w:r w:rsidRPr="00843DA3">
        <w:rPr>
          <w:rFonts w:eastAsia="Calibri" w:cs="Arial"/>
          <w:noProof/>
        </w:rPr>
        <w:drawing>
          <wp:inline distT="0" distB="0" distL="0" distR="0" wp14:anchorId="3DF4FC94" wp14:editId="7A8A8C7C">
            <wp:extent cx="4816244" cy="2226426"/>
            <wp:effectExtent l="0" t="0" r="3810" b="254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A3B751" w14:textId="77777777" w:rsidR="00843DA3" w:rsidRPr="00843DA3" w:rsidRDefault="00843DA3" w:rsidP="00843DA3">
      <w:pPr>
        <w:spacing w:after="0"/>
        <w:jc w:val="center"/>
        <w:rPr>
          <w:rFonts w:eastAsia="Calibri" w:cs="Arial"/>
        </w:rPr>
      </w:pPr>
      <w:r w:rsidRPr="00843DA3">
        <w:rPr>
          <w:rFonts w:eastAsia="Calibri" w:cs="Arial"/>
          <w:noProof/>
        </w:rPr>
        <w:drawing>
          <wp:inline distT="0" distB="0" distL="0" distR="0" wp14:anchorId="303C5F45" wp14:editId="171F950A">
            <wp:extent cx="4814397" cy="2182091"/>
            <wp:effectExtent l="0" t="0" r="5715" b="889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BC8C32" w14:textId="77777777" w:rsidR="00843DA3" w:rsidRPr="00843DA3" w:rsidRDefault="00843DA3" w:rsidP="00843DA3">
      <w:pPr>
        <w:spacing w:after="0"/>
        <w:ind w:firstLine="720"/>
        <w:jc w:val="both"/>
        <w:rPr>
          <w:rFonts w:eastAsia="Calibri" w:cs="Arial"/>
        </w:rPr>
      </w:pPr>
    </w:p>
    <w:p w14:paraId="605B37F9"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Analizējot trīs gadu rādītājus, redzams, ka 2020. gadā turpināja (attiecībā pret 2018. gadu pieaugums – 380 kriminālprocesi) palielināties to kriminālprocesu skaits, kuros prokurori konstatējuši, ka tos var pabeigt prokuratūrā, nosakot apsūdzētajai personai sodu.</w:t>
      </w:r>
    </w:p>
    <w:p w14:paraId="267F352F" w14:textId="77777777" w:rsidR="00843DA3" w:rsidRPr="00843DA3" w:rsidRDefault="00843DA3" w:rsidP="00843DA3">
      <w:pPr>
        <w:spacing w:after="0" w:line="240" w:lineRule="auto"/>
        <w:ind w:firstLine="720"/>
        <w:jc w:val="both"/>
        <w:rPr>
          <w:rFonts w:eastAsia="Calibri" w:cs="Arial"/>
        </w:rPr>
      </w:pPr>
      <w:r w:rsidRPr="00843DA3">
        <w:rPr>
          <w:rFonts w:eastAsia="Calibri" w:cs="Arial"/>
        </w:rPr>
        <w:lastRenderedPageBreak/>
        <w:t>Prokurora priekšraksta par sodu piemērošanas pamats – persona izdarījusi kriminālpārkāpumu, mazāk smagu noziegumu vai smagu noziegumu, par kuru paredzēts brīvības atņemšanas sods līdz pieciem gadiem, un prokurors, ņemot vērā izdarītā noziedzīgā nodarījuma raksturu un radīto kaitējumu, personu raksturojošus datus un citus lietas apstākļus, ir guvis pārliecību, ka šai personai nevajadzētu piemērot brīvības atņemšanas sodu, taču to nevar atstāt nesodītu.</w:t>
      </w:r>
    </w:p>
    <w:p w14:paraId="79280ADC"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 xml:space="preserve">2020. gadā ar prokurora priekšrakstu par sodu pabeigtajos kriminālprocesos – 1765 gadījumos personas sodītas ar piespiedu darbu, 189 gadījumos personām piemērots naudas sods, bet 418 gadījumos noteikts papildsods – tiesību ierobežošana. </w:t>
      </w:r>
    </w:p>
    <w:p w14:paraId="1035A25F" w14:textId="77777777" w:rsidR="00843DA3" w:rsidRPr="00843DA3" w:rsidRDefault="00843DA3" w:rsidP="00843DA3">
      <w:pPr>
        <w:spacing w:after="0" w:line="240" w:lineRule="auto"/>
        <w:ind w:firstLine="720"/>
        <w:jc w:val="both"/>
        <w:rPr>
          <w:rFonts w:eastAsia="Calibri" w:cs="Arial"/>
        </w:rPr>
      </w:pPr>
    </w:p>
    <w:p w14:paraId="74A2C125" w14:textId="77777777" w:rsidR="00843DA3" w:rsidRPr="00843DA3" w:rsidRDefault="00843DA3" w:rsidP="00843DA3">
      <w:pPr>
        <w:jc w:val="center"/>
        <w:rPr>
          <w:rFonts w:eastAsia="Calibri" w:cs="Arial"/>
        </w:rPr>
      </w:pPr>
      <w:r w:rsidRPr="00843DA3">
        <w:rPr>
          <w:rFonts w:eastAsia="Calibri" w:cs="Arial"/>
          <w:noProof/>
        </w:rPr>
        <w:drawing>
          <wp:inline distT="0" distB="0" distL="0" distR="0" wp14:anchorId="31A5523D" wp14:editId="2E50AB14">
            <wp:extent cx="4879975" cy="2324100"/>
            <wp:effectExtent l="0" t="0" r="15875"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D88FD8" w14:textId="77777777" w:rsidR="00843DA3" w:rsidRPr="00843DA3" w:rsidRDefault="00843DA3" w:rsidP="00843DA3">
      <w:pPr>
        <w:jc w:val="center"/>
        <w:rPr>
          <w:rFonts w:eastAsia="Calibri" w:cs="Arial"/>
        </w:rPr>
      </w:pPr>
      <w:r w:rsidRPr="00843DA3">
        <w:rPr>
          <w:rFonts w:eastAsia="Calibri" w:cs="Arial"/>
          <w:noProof/>
        </w:rPr>
        <w:drawing>
          <wp:inline distT="0" distB="0" distL="0" distR="0" wp14:anchorId="67BFEB97" wp14:editId="48BDEB14">
            <wp:extent cx="4882746" cy="2303319"/>
            <wp:effectExtent l="0" t="0" r="13335" b="1905"/>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131E6B" w14:textId="77777777" w:rsidR="00843DA3" w:rsidRPr="00843DA3" w:rsidRDefault="00843DA3" w:rsidP="00843DA3">
      <w:pPr>
        <w:spacing w:after="0" w:line="240" w:lineRule="auto"/>
        <w:jc w:val="center"/>
        <w:rPr>
          <w:rFonts w:eastAsia="Calibri" w:cs="Arial"/>
        </w:rPr>
      </w:pPr>
      <w:r w:rsidRPr="00843DA3">
        <w:rPr>
          <w:rFonts w:eastAsia="Calibri" w:cs="Arial"/>
          <w:noProof/>
        </w:rPr>
        <w:drawing>
          <wp:inline distT="0" distB="0" distL="0" distR="0" wp14:anchorId="38F03555" wp14:editId="723ADA43">
            <wp:extent cx="4883785" cy="2311400"/>
            <wp:effectExtent l="0" t="0" r="12065" b="1270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82DD9E" w14:textId="77777777" w:rsidR="00843DA3" w:rsidRPr="00843DA3" w:rsidRDefault="00843DA3" w:rsidP="00843DA3">
      <w:pPr>
        <w:spacing w:after="0" w:line="240" w:lineRule="auto"/>
        <w:jc w:val="both"/>
        <w:rPr>
          <w:rFonts w:eastAsia="Calibri" w:cs="Arial"/>
        </w:rPr>
      </w:pPr>
    </w:p>
    <w:p w14:paraId="407CBBB5" w14:textId="77777777" w:rsidR="00843DA3" w:rsidRPr="00843DA3" w:rsidRDefault="00843DA3" w:rsidP="00843DA3">
      <w:pPr>
        <w:spacing w:after="0" w:line="240" w:lineRule="auto"/>
        <w:ind w:firstLine="720"/>
        <w:jc w:val="both"/>
        <w:rPr>
          <w:rFonts w:eastAsia="Calibri" w:cs="Arial"/>
        </w:rPr>
      </w:pPr>
      <w:r w:rsidRPr="00843DA3">
        <w:rPr>
          <w:rFonts w:eastAsia="Calibri" w:cs="Arial"/>
        </w:rPr>
        <w:lastRenderedPageBreak/>
        <w:t xml:space="preserve">2020. gadā </w:t>
      </w:r>
      <w:bookmarkStart w:id="0" w:name="_Hlk64865977"/>
      <w:r w:rsidRPr="00843DA3">
        <w:rPr>
          <w:rFonts w:eastAsia="Calibri" w:cs="Arial"/>
        </w:rPr>
        <w:t>tiesai kopā nodotas 9019 apsūdzētās personas (tajā skaitā 479 nepilngadīgas personas) par 14 158 noziedzīgu nodarījumu izdarīšanu.</w:t>
      </w:r>
      <w:bookmarkEnd w:id="0"/>
    </w:p>
    <w:p w14:paraId="0C39E945"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2019. gadā tiesai kopā nodotas 9626 apsūdzētās personas (tajā skaitā 507 nepilngadīgas personas) par 14 997 noziedzīgu nodarījumu izdarīšanu.</w:t>
      </w:r>
    </w:p>
    <w:p w14:paraId="24B6BFBB"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2018. gadā tiesai kopā nodota 10 041 apsūdzētā persona (tajā skaitā 523 nepilngadīgas personas) par 14 666 noziedzīgu nodarījumu izdarīšanu.</w:t>
      </w:r>
    </w:p>
    <w:p w14:paraId="11E61D3D" w14:textId="77777777" w:rsidR="00843DA3" w:rsidRPr="00843DA3" w:rsidRDefault="00843DA3" w:rsidP="00843DA3">
      <w:pPr>
        <w:spacing w:after="0"/>
        <w:ind w:firstLine="720"/>
        <w:jc w:val="both"/>
        <w:rPr>
          <w:rFonts w:eastAsia="Calibri" w:cs="Arial"/>
        </w:rPr>
      </w:pPr>
    </w:p>
    <w:p w14:paraId="43FC5865" w14:textId="77777777" w:rsidR="00843DA3" w:rsidRPr="00843DA3" w:rsidRDefault="00843DA3" w:rsidP="00843DA3">
      <w:pPr>
        <w:spacing w:after="0"/>
        <w:jc w:val="center"/>
        <w:rPr>
          <w:rFonts w:eastAsia="Calibri" w:cs="Arial"/>
        </w:rPr>
      </w:pPr>
      <w:r w:rsidRPr="00843DA3">
        <w:rPr>
          <w:rFonts w:eastAsia="Calibri" w:cs="Arial"/>
          <w:noProof/>
        </w:rPr>
        <w:drawing>
          <wp:inline distT="0" distB="0" distL="0" distR="0" wp14:anchorId="56D43B1E" wp14:editId="26ECD4A1">
            <wp:extent cx="4926330" cy="1927860"/>
            <wp:effectExtent l="0" t="0" r="7620" b="1524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D7ED1D" w14:textId="77777777" w:rsidR="00843DA3" w:rsidRPr="00843DA3" w:rsidRDefault="00843DA3" w:rsidP="00843DA3">
      <w:pPr>
        <w:spacing w:after="0"/>
        <w:ind w:firstLine="720"/>
        <w:jc w:val="both"/>
        <w:rPr>
          <w:rFonts w:eastAsia="Calibri" w:cs="Arial"/>
        </w:rPr>
      </w:pPr>
    </w:p>
    <w:p w14:paraId="70B043E1"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 xml:space="preserve">2018. gadā </w:t>
      </w:r>
      <w:bookmarkStart w:id="1" w:name="_Hlk64792857"/>
      <w:r w:rsidRPr="00843DA3">
        <w:rPr>
          <w:rFonts w:eastAsia="Calibri" w:cs="Arial"/>
        </w:rPr>
        <w:t xml:space="preserve">pirmās instances tiesā ar nolēmuma taisīšanu izskatītas </w:t>
      </w:r>
      <w:bookmarkEnd w:id="1"/>
      <w:r w:rsidRPr="00843DA3">
        <w:rPr>
          <w:rFonts w:eastAsia="Calibri" w:cs="Arial"/>
        </w:rPr>
        <w:t>8406 krimināllietas, tajā skaitā bez pierādījumu pārbaudes 5327 krimināllietas, bet 1494 krimināllietās apstiprināta vienošanās starp prokuroru un apsūdzēto par vainas atzīšanu un sodu.</w:t>
      </w:r>
    </w:p>
    <w:p w14:paraId="3529007B"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2019. gadā pirmās instances tiesā ar nolēmuma taisīšanu izskatītas 7835 krimināllietas, tajā skaitā bez pierādījumu pārbaudes 4705 krimināllietas, bet 1485 krimināllietās apstiprināta vienošanās starp prokuroru un apsūdzēto par vainas atzīšanu un sodu.</w:t>
      </w:r>
    </w:p>
    <w:p w14:paraId="01043E56"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2020. gadā pirmās instances tiesā ar nolēmuma taisīšanu izskatītas 6809 krimināllietas, tajā skaitā bez pierādījumu pārbaudes 4061 krimināllieta, bet 1495 krimināllietās apstiprināta vienošanās starp prokuroru un apsūdzēto par vainas atzīšanu un sodu.</w:t>
      </w:r>
    </w:p>
    <w:p w14:paraId="1AD81FF1" w14:textId="77777777" w:rsidR="00843DA3" w:rsidRPr="00843DA3" w:rsidRDefault="00843DA3" w:rsidP="00843DA3">
      <w:pPr>
        <w:spacing w:after="0" w:line="240" w:lineRule="auto"/>
        <w:ind w:firstLine="720"/>
        <w:jc w:val="both"/>
        <w:rPr>
          <w:rFonts w:eastAsia="Calibri" w:cs="Arial"/>
        </w:rPr>
      </w:pPr>
      <w:r w:rsidRPr="00843DA3">
        <w:rPr>
          <w:rFonts w:eastAsia="Calibri" w:cs="Arial"/>
        </w:rPr>
        <w:t>Iepriekš minētie rādītāji liecina, ka ir tendence mazināties krimināllietu iztiesāšanai, kas prasa liela skaita lietas dalībnieku personisku klātbūtni tajā, tādējādi ietaupot darba laika resursu. Šāda pieeja jāturpina, lai iztiesāšanas laiks tiktu veltīts kriminālprocesiem par sarežģītiem smagiem un sevišķi smagiem noziegumiem.</w:t>
      </w:r>
    </w:p>
    <w:p w14:paraId="704E2AF4" w14:textId="77777777" w:rsidR="00843DA3" w:rsidRPr="00843DA3" w:rsidRDefault="00843DA3" w:rsidP="00843DA3">
      <w:pPr>
        <w:spacing w:after="0" w:line="240" w:lineRule="auto"/>
        <w:ind w:firstLine="720"/>
        <w:jc w:val="both"/>
        <w:rPr>
          <w:rFonts w:eastAsia="Calibri" w:cs="Arial"/>
        </w:rPr>
      </w:pPr>
    </w:p>
    <w:p w14:paraId="01D2C626" w14:textId="77777777" w:rsidR="00843DA3" w:rsidRPr="00843DA3" w:rsidRDefault="00843DA3" w:rsidP="00843DA3">
      <w:pPr>
        <w:spacing w:after="0"/>
        <w:jc w:val="center"/>
        <w:rPr>
          <w:rFonts w:eastAsia="Calibri" w:cs="Arial"/>
        </w:rPr>
      </w:pPr>
      <w:r w:rsidRPr="00843DA3">
        <w:rPr>
          <w:rFonts w:eastAsia="Calibri" w:cs="Arial"/>
          <w:noProof/>
        </w:rPr>
        <w:drawing>
          <wp:inline distT="0" distB="0" distL="0" distR="0" wp14:anchorId="66A5D916" wp14:editId="03860E77">
            <wp:extent cx="4965700" cy="1981200"/>
            <wp:effectExtent l="0" t="0" r="6350" b="0"/>
            <wp:docPr id="152" name="Chart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08401A" w14:textId="77777777" w:rsidR="00843DA3" w:rsidRPr="00843DA3" w:rsidRDefault="00843DA3" w:rsidP="00843DA3">
      <w:pPr>
        <w:spacing w:after="0" w:line="240" w:lineRule="auto"/>
        <w:ind w:firstLine="720"/>
        <w:jc w:val="both"/>
        <w:rPr>
          <w:rFonts w:eastAsia="Calibri" w:cs="Arial"/>
        </w:rPr>
      </w:pPr>
    </w:p>
    <w:p w14:paraId="6D8FE3EF" w14:textId="77777777" w:rsidR="00843DA3" w:rsidRPr="00843DA3" w:rsidRDefault="00843DA3" w:rsidP="00843DA3">
      <w:pPr>
        <w:spacing w:after="0" w:line="240" w:lineRule="auto"/>
        <w:jc w:val="both"/>
        <w:rPr>
          <w:rFonts w:eastAsia="Calibri" w:cs="Arial"/>
        </w:rPr>
      </w:pPr>
      <w:r w:rsidRPr="00843DA3">
        <w:rPr>
          <w:rFonts w:eastAsia="Calibri" w:cs="Arial"/>
        </w:rPr>
        <w:t xml:space="preserve">2020. gadā kopā izskatīti: </w:t>
      </w:r>
    </w:p>
    <w:p w14:paraId="44284B66" w14:textId="77777777" w:rsidR="00843DA3" w:rsidRPr="00843DA3" w:rsidRDefault="00843DA3" w:rsidP="00843DA3">
      <w:pPr>
        <w:numPr>
          <w:ilvl w:val="0"/>
          <w:numId w:val="1"/>
        </w:numPr>
        <w:spacing w:line="240" w:lineRule="auto"/>
        <w:contextualSpacing/>
        <w:jc w:val="both"/>
        <w:rPr>
          <w:rFonts w:eastAsia="Calibri" w:cs="Arial"/>
        </w:rPr>
      </w:pPr>
      <w:r w:rsidRPr="00843DA3">
        <w:rPr>
          <w:rFonts w:eastAsia="Calibri" w:cs="Arial"/>
        </w:rPr>
        <w:t>255  apelācijas protesti, no tiem apmierināti 169, bet noraidīti 90 protesti;</w:t>
      </w:r>
    </w:p>
    <w:p w14:paraId="58E16065" w14:textId="77777777" w:rsidR="00843DA3" w:rsidRPr="00843DA3" w:rsidRDefault="00843DA3" w:rsidP="00843DA3">
      <w:pPr>
        <w:numPr>
          <w:ilvl w:val="0"/>
          <w:numId w:val="1"/>
        </w:numPr>
        <w:spacing w:line="240" w:lineRule="auto"/>
        <w:contextualSpacing/>
        <w:jc w:val="both"/>
        <w:rPr>
          <w:rFonts w:eastAsia="Calibri" w:cs="Arial"/>
        </w:rPr>
      </w:pPr>
      <w:r w:rsidRPr="00843DA3">
        <w:rPr>
          <w:rFonts w:eastAsia="Calibri" w:cs="Arial"/>
        </w:rPr>
        <w:t>69 kasācijas protesti, no tiem apmierināti 48, bet noraidīts 21 protests;</w:t>
      </w:r>
    </w:p>
    <w:p w14:paraId="593BE273" w14:textId="77777777" w:rsidR="00843DA3" w:rsidRPr="00843DA3" w:rsidRDefault="00843DA3" w:rsidP="00843DA3">
      <w:pPr>
        <w:numPr>
          <w:ilvl w:val="0"/>
          <w:numId w:val="1"/>
        </w:numPr>
        <w:spacing w:after="0" w:line="240" w:lineRule="auto"/>
        <w:ind w:left="714" w:hanging="357"/>
        <w:contextualSpacing/>
        <w:jc w:val="both"/>
        <w:rPr>
          <w:rFonts w:eastAsia="Calibri" w:cs="Arial"/>
        </w:rPr>
      </w:pPr>
      <w:r w:rsidRPr="00843DA3">
        <w:rPr>
          <w:rFonts w:eastAsia="Calibri" w:cs="Arial"/>
        </w:rPr>
        <w:t xml:space="preserve">38 Kriminālprocesa likuma 61. un 63. nodaļas kārtībā iesniegtie protesti, visi 38 protesti apmierināti. </w:t>
      </w:r>
    </w:p>
    <w:p w14:paraId="696B34DC" w14:textId="77777777" w:rsidR="00843DA3" w:rsidRPr="00843DA3" w:rsidRDefault="00843DA3" w:rsidP="00843DA3">
      <w:pPr>
        <w:spacing w:after="0" w:line="240" w:lineRule="auto"/>
        <w:ind w:firstLine="714"/>
        <w:jc w:val="both"/>
        <w:rPr>
          <w:rFonts w:eastAsia="Calibri" w:cs="Arial"/>
        </w:rPr>
      </w:pPr>
      <w:r w:rsidRPr="00843DA3">
        <w:rPr>
          <w:rFonts w:eastAsia="Calibri" w:cs="Arial"/>
        </w:rPr>
        <w:t xml:space="preserve">Minētie rādītāji liecina, ka kopumā ir tendence mazināties prokuroru iesniegto protestu skaitam. Tas no vienas puses saistīts ar to, ka kopumā arī iztiesāto krimināllietu skaits </w:t>
      </w:r>
      <w:r w:rsidRPr="00843DA3">
        <w:rPr>
          <w:rFonts w:eastAsia="Calibri" w:cs="Arial"/>
        </w:rPr>
        <w:lastRenderedPageBreak/>
        <w:t>mazinājies, kā arī norāda uz vienotas izpratnes nostiprināšanos valsts apsūdzības un tiesas pozīcijā par apsūdzētajam piemērojamo soda veidu un mēru, kā arī citiem būtiskiem jautājumiem, kas izlemjami tiesas spriedumā.</w:t>
      </w:r>
    </w:p>
    <w:p w14:paraId="163C802E" w14:textId="7E0A16C3" w:rsidR="00873BCC" w:rsidRPr="00843DA3" w:rsidRDefault="00873BCC" w:rsidP="00843DA3"/>
    <w:sectPr w:rsidR="00873BCC" w:rsidRPr="00843DA3" w:rsidSect="00D326A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D7350"/>
    <w:multiLevelType w:val="hybridMultilevel"/>
    <w:tmpl w:val="390E55B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A3"/>
    <w:rsid w:val="00602557"/>
    <w:rsid w:val="00843DA3"/>
    <w:rsid w:val="00845FC0"/>
    <w:rsid w:val="00873BCC"/>
    <w:rsid w:val="00B51958"/>
    <w:rsid w:val="00CB75A2"/>
    <w:rsid w:val="00D32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E9D5"/>
  <w15:chartTrackingRefBased/>
  <w15:docId w15:val="{87EBF278-76E4-4697-BAF0-5D3AD36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A3"/>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A3"/>
    <w:pPr>
      <w:ind w:left="720"/>
      <w:contextualSpacing/>
    </w:pPr>
  </w:style>
  <w:style w:type="paragraph" w:styleId="NoSpacing">
    <w:name w:val="No Spacing"/>
    <w:uiPriority w:val="1"/>
    <w:qFormat/>
    <w:rsid w:val="00843DA3"/>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5" Type="http://schemas.openxmlformats.org/officeDocument/2006/relationships/chartUserShapes" Target="../drawings/drawing3.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5" Type="http://schemas.openxmlformats.org/officeDocument/2006/relationships/chartUserShapes" Target="../drawings/drawing4.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5" Type="http://schemas.openxmlformats.org/officeDocument/2006/relationships/chartUserShapes" Target="../drawings/drawing5.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5" Type="http://schemas.openxmlformats.org/officeDocument/2006/relationships/chartUserShapes" Target="../drawings/drawing6.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1.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2.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b="1" baseline="0">
                <a:solidFill>
                  <a:schemeClr val="tx1"/>
                </a:solidFill>
                <a:latin typeface="Times New Roman" panose="02020603050405020304" pitchFamily="18" charset="0"/>
                <a:cs typeface="Times New Roman" panose="02020603050405020304" pitchFamily="18" charset="0"/>
              </a:rPr>
              <a:t>Prokuroru uzraudzībā pieņemti kriminālprocesi</a:t>
            </a:r>
            <a:endParaRPr lang="en-US" sz="1200" baseline="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41281</c:v>
                </c:pt>
                <c:pt idx="1">
                  <c:v>38344</c:v>
                </c:pt>
                <c:pt idx="2">
                  <c:v>36756</c:v>
                </c:pt>
              </c:numCache>
            </c:numRef>
          </c:val>
          <c:extLst>
            <c:ext xmlns:c16="http://schemas.microsoft.com/office/drawing/2014/chart" uri="{C3380CC4-5D6E-409C-BE32-E72D297353CC}">
              <c16:uniqueId val="{00000000-8507-4D2D-AB1A-AEE5AB2ACAA4}"/>
            </c:ext>
          </c:extLst>
        </c:ser>
        <c:dLbls>
          <c:showLegendKey val="0"/>
          <c:showVal val="0"/>
          <c:showCatName val="0"/>
          <c:showSerName val="0"/>
          <c:showPercent val="0"/>
          <c:showBubbleSize val="0"/>
        </c:dLbls>
        <c:gapWidth val="219"/>
        <c:overlap val="-27"/>
        <c:axId val="348378888"/>
        <c:axId val="348379216"/>
      </c:barChart>
      <c:catAx>
        <c:axId val="348378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8379216"/>
        <c:crosses val="autoZero"/>
        <c:auto val="1"/>
        <c:lblAlgn val="ctr"/>
        <c:lblOffset val="100"/>
        <c:noMultiLvlLbl val="0"/>
      </c:catAx>
      <c:valAx>
        <c:axId val="3483792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8378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v-LV" sz="1100" b="1" baseline="0">
                <a:solidFill>
                  <a:schemeClr val="tx1"/>
                </a:solidFill>
              </a:rPr>
              <a:t>Kriminālprocesa pabeigšanas veidi prokuratūrā</a:t>
            </a:r>
          </a:p>
          <a:p>
            <a:pPr algn="ctr">
              <a:defRPr sz="1400"/>
            </a:pPr>
            <a:r>
              <a:rPr lang="lv-LV" sz="1100" b="1" baseline="0">
                <a:solidFill>
                  <a:schemeClr val="tx1"/>
                </a:solidFill>
              </a:rPr>
              <a:t>2020. gadā</a:t>
            </a:r>
            <a:endParaRPr lang="lv-LV" sz="1100" b="1">
              <a:solidFill>
                <a:schemeClr val="tx1"/>
              </a:solidFill>
            </a:endParaRPr>
          </a:p>
        </c:rich>
      </c:tx>
      <c:layout>
        <c:manualLayout>
          <c:xMode val="edge"/>
          <c:yMode val="edge"/>
          <c:x val="0.13080982104930547"/>
          <c:y val="2.145539066690506E-2"/>
        </c:manualLayout>
      </c:layout>
      <c:overlay val="0"/>
      <c:spPr>
        <a:noFill/>
        <a:ln>
          <a:noFill/>
        </a:ln>
        <a:effectLst/>
      </c:spPr>
      <c:txPr>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doughnutChart>
        <c:varyColors val="1"/>
        <c:ser>
          <c:idx val="0"/>
          <c:order val="0"/>
          <c:dPt>
            <c:idx val="0"/>
            <c:bubble3D val="0"/>
            <c:spPr>
              <a:solidFill>
                <a:schemeClr val="accent1"/>
              </a:solidFill>
              <a:ln w="6350" cap="flat" cmpd="sng" algn="ctr">
                <a:solidFill>
                  <a:schemeClr val="accent1">
                    <a:shade val="50000"/>
                  </a:schemeClr>
                </a:solidFill>
                <a:prstDash val="solid"/>
                <a:round/>
              </a:ln>
              <a:effectLst/>
            </c:spPr>
            <c:extLst>
              <c:ext xmlns:c16="http://schemas.microsoft.com/office/drawing/2014/chart" uri="{C3380CC4-5D6E-409C-BE32-E72D297353CC}">
                <c16:uniqueId val="{00000001-A4B6-4627-B814-859E9B0E480F}"/>
              </c:ext>
            </c:extLst>
          </c:dPt>
          <c:dPt>
            <c:idx val="1"/>
            <c:bubble3D val="0"/>
            <c:spPr>
              <a:solidFill>
                <a:schemeClr val="accent2"/>
              </a:solidFill>
              <a:ln w="6350" cap="flat" cmpd="sng" algn="ctr">
                <a:solidFill>
                  <a:schemeClr val="accent2">
                    <a:shade val="50000"/>
                  </a:schemeClr>
                </a:solidFill>
                <a:prstDash val="solid"/>
                <a:round/>
              </a:ln>
              <a:effectLst/>
            </c:spPr>
            <c:extLst>
              <c:ext xmlns:c16="http://schemas.microsoft.com/office/drawing/2014/chart" uri="{C3380CC4-5D6E-409C-BE32-E72D297353CC}">
                <c16:uniqueId val="{00000003-A4B6-4627-B814-859E9B0E480F}"/>
              </c:ext>
            </c:extLst>
          </c:dPt>
          <c:dPt>
            <c:idx val="2"/>
            <c:bubble3D val="0"/>
            <c:spPr>
              <a:solidFill>
                <a:schemeClr val="accent3"/>
              </a:solidFill>
              <a:ln w="6350" cap="flat" cmpd="sng" algn="ctr">
                <a:solidFill>
                  <a:schemeClr val="accent3">
                    <a:shade val="50000"/>
                  </a:schemeClr>
                </a:solidFill>
                <a:prstDash val="solid"/>
                <a:round/>
              </a:ln>
              <a:effectLst/>
            </c:spPr>
            <c:extLst>
              <c:ext xmlns:c16="http://schemas.microsoft.com/office/drawing/2014/chart" uri="{C3380CC4-5D6E-409C-BE32-E72D297353CC}">
                <c16:uniqueId val="{00000005-A4B6-4627-B814-859E9B0E480F}"/>
              </c:ext>
            </c:extLst>
          </c:dPt>
          <c:dPt>
            <c:idx val="3"/>
            <c:bubble3D val="0"/>
            <c:spPr>
              <a:solidFill>
                <a:schemeClr val="accent4"/>
              </a:solidFill>
              <a:ln w="6350" cap="flat" cmpd="sng" algn="ctr">
                <a:solidFill>
                  <a:schemeClr val="accent4">
                    <a:shade val="50000"/>
                  </a:schemeClr>
                </a:solidFill>
                <a:prstDash val="solid"/>
                <a:round/>
              </a:ln>
              <a:effectLst/>
            </c:spPr>
            <c:extLst>
              <c:ext xmlns:c16="http://schemas.microsoft.com/office/drawing/2014/chart" uri="{C3380CC4-5D6E-409C-BE32-E72D297353CC}">
                <c16:uniqueId val="{00000007-A4B6-4627-B814-859E9B0E480F}"/>
              </c:ext>
            </c:extLst>
          </c:dPt>
          <c:dPt>
            <c:idx val="4"/>
            <c:bubble3D val="0"/>
            <c:spPr>
              <a:solidFill>
                <a:schemeClr val="accent5"/>
              </a:solidFill>
              <a:ln w="6350" cap="flat" cmpd="sng" algn="ctr">
                <a:solidFill>
                  <a:schemeClr val="accent5">
                    <a:shade val="50000"/>
                  </a:schemeClr>
                </a:solidFill>
                <a:prstDash val="solid"/>
                <a:round/>
              </a:ln>
              <a:effectLst/>
            </c:spPr>
            <c:extLst>
              <c:ext xmlns:c16="http://schemas.microsoft.com/office/drawing/2014/chart" uri="{C3380CC4-5D6E-409C-BE32-E72D297353CC}">
                <c16:uniqueId val="{00000009-A4B6-4627-B814-859E9B0E480F}"/>
              </c:ext>
            </c:extLst>
          </c:dPt>
          <c:dLbls>
            <c:dLbl>
              <c:idx val="2"/>
              <c:layout>
                <c:manualLayout>
                  <c:x val="0"/>
                  <c:y val="-9.84251968503930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B6-4627-B814-859E9B0E480F}"/>
                </c:ext>
              </c:extLst>
            </c:dLbl>
            <c:dLbl>
              <c:idx val="3"/>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5496815286624205"/>
                      <c:h val="0.18831877729257643"/>
                    </c:manualLayout>
                  </c15:layout>
                </c:ext>
                <c:ext xmlns:c16="http://schemas.microsoft.com/office/drawing/2014/chart" uri="{C3380CC4-5D6E-409C-BE32-E72D297353CC}">
                  <c16:uniqueId val="{00000007-A4B6-4627-B814-859E9B0E480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6350" cap="flat" cmpd="sng" algn="ctr">
                  <a:solidFill>
                    <a:schemeClr val="dk1"/>
                  </a:solidFill>
                  <a:prstDash val="solid"/>
                  <a:round/>
                </a:ln>
                <a:effectLst/>
              </c:spPr>
            </c:leaderLines>
            <c:extLst>
              <c:ext xmlns:c15="http://schemas.microsoft.com/office/drawing/2012/chart" uri="{CE6537A1-D6FC-4f65-9D91-7224C49458BB}"/>
            </c:extLst>
          </c:dLbls>
          <c:cat>
            <c:strRef>
              <c:f>I_tiesas_apgabala_prok!$AR$6:$AR$10</c:f>
              <c:strCache>
                <c:ptCount val="5"/>
                <c:pt idx="0">
                  <c:v>Priekšraksti par sodu</c:v>
                </c:pt>
                <c:pt idx="1">
                  <c:v>Nosacīti atbrīvojot no kriminālatbildības</c:v>
                </c:pt>
                <c:pt idx="2">
                  <c:v>KPL 379.panta 1., 2.daļa</c:v>
                </c:pt>
                <c:pt idx="3">
                  <c:v>Izlīgumi (KPL 377.panta 9.punkts)</c:v>
                </c:pt>
                <c:pt idx="4">
                  <c:v>Citi</c:v>
                </c:pt>
              </c:strCache>
            </c:strRef>
          </c:cat>
          <c:val>
            <c:numRef>
              <c:f>I_tiesas_apgabala_prok!$AS$6:$AS$10</c:f>
              <c:numCache>
                <c:formatCode>General</c:formatCode>
                <c:ptCount val="5"/>
                <c:pt idx="0">
                  <c:v>1972</c:v>
                </c:pt>
                <c:pt idx="1">
                  <c:v>365</c:v>
                </c:pt>
                <c:pt idx="2">
                  <c:v>242</c:v>
                </c:pt>
                <c:pt idx="3">
                  <c:v>192</c:v>
                </c:pt>
                <c:pt idx="4">
                  <c:v>154</c:v>
                </c:pt>
              </c:numCache>
            </c:numRef>
          </c:val>
          <c:extLst>
            <c:ext xmlns:c16="http://schemas.microsoft.com/office/drawing/2014/chart" uri="{C3380CC4-5D6E-409C-BE32-E72D297353CC}">
              <c16:uniqueId val="{0000000A-A4B6-4627-B814-859E9B0E480F}"/>
            </c:ext>
          </c:extLst>
        </c:ser>
        <c:dLbls>
          <c:showLegendKey val="0"/>
          <c:showVal val="0"/>
          <c:showCatName val="0"/>
          <c:showSerName val="0"/>
          <c:showPercent val="1"/>
          <c:showBubbleSize val="0"/>
          <c:showLeaderLines val="1"/>
        </c:dLbls>
        <c:firstSliceAng val="0"/>
        <c:holeSize val="52"/>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6350" cap="flat" cmpd="sng" algn="ctr">
      <a:solidFill>
        <a:schemeClr val="dk1">
          <a:tint val="75000"/>
        </a:schemeClr>
      </a:solidFill>
      <a:prstDash val="solid"/>
      <a:round/>
    </a:ln>
    <a:effectLst/>
  </c:spPr>
  <c:txPr>
    <a:bodyPr/>
    <a:lstStyle/>
    <a:p>
      <a:pPr>
        <a:defRPr>
          <a:solidFill>
            <a:schemeClr val="tx2"/>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v-LV" sz="1200" b="1" baseline="0">
                <a:solidFill>
                  <a:schemeClr val="tx1"/>
                </a:solidFill>
              </a:rPr>
              <a:t>Nodotas krimināllietas tiesām</a:t>
            </a:r>
          </a:p>
          <a:p>
            <a:pPr algn="ctr">
              <a:defRPr sz="1400"/>
            </a:pPr>
            <a:r>
              <a:rPr lang="lv-LV" sz="1200" b="1" baseline="0">
                <a:solidFill>
                  <a:schemeClr val="tx1"/>
                </a:solidFill>
              </a:rPr>
              <a:t>2018. gadā</a:t>
            </a:r>
            <a:endParaRPr lang="lv-LV" sz="1200" b="1">
              <a:solidFill>
                <a:schemeClr val="tx1"/>
              </a:solidFill>
            </a:endParaRPr>
          </a:p>
        </c:rich>
      </c:tx>
      <c:layout>
        <c:manualLayout>
          <c:xMode val="edge"/>
          <c:yMode val="edge"/>
          <c:x val="0.13080982104930547"/>
          <c:y val="2.145539066690506E-2"/>
        </c:manualLayout>
      </c:layout>
      <c:overlay val="0"/>
      <c:spPr>
        <a:noFill/>
        <a:ln>
          <a:noFill/>
        </a:ln>
        <a:effectLst/>
      </c:spPr>
      <c:txPr>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doughnutChart>
        <c:varyColors val="1"/>
        <c:ser>
          <c:idx val="0"/>
          <c:order val="0"/>
          <c:dPt>
            <c:idx val="0"/>
            <c:bubble3D val="0"/>
            <c:spPr>
              <a:solidFill>
                <a:schemeClr val="accent1"/>
              </a:solidFill>
              <a:ln w="6350" cap="flat" cmpd="sng" algn="ctr">
                <a:solidFill>
                  <a:schemeClr val="accent1">
                    <a:shade val="50000"/>
                  </a:schemeClr>
                </a:solidFill>
                <a:prstDash val="solid"/>
                <a:round/>
              </a:ln>
              <a:effectLst/>
            </c:spPr>
            <c:extLst>
              <c:ext xmlns:c16="http://schemas.microsoft.com/office/drawing/2014/chart" uri="{C3380CC4-5D6E-409C-BE32-E72D297353CC}">
                <c16:uniqueId val="{00000001-E200-48EF-A4DF-8E10DF0E0B69}"/>
              </c:ext>
            </c:extLst>
          </c:dPt>
          <c:dPt>
            <c:idx val="1"/>
            <c:bubble3D val="0"/>
            <c:spPr>
              <a:solidFill>
                <a:schemeClr val="accent2"/>
              </a:solidFill>
              <a:ln w="6350" cap="flat" cmpd="sng" algn="ctr">
                <a:solidFill>
                  <a:schemeClr val="accent2">
                    <a:shade val="50000"/>
                  </a:schemeClr>
                </a:solidFill>
                <a:prstDash val="solid"/>
                <a:round/>
              </a:ln>
              <a:effectLst/>
            </c:spPr>
            <c:extLst>
              <c:ext xmlns:c16="http://schemas.microsoft.com/office/drawing/2014/chart" uri="{C3380CC4-5D6E-409C-BE32-E72D297353CC}">
                <c16:uniqueId val="{00000003-E200-48EF-A4DF-8E10DF0E0B69}"/>
              </c:ext>
            </c:extLst>
          </c:dPt>
          <c:dPt>
            <c:idx val="2"/>
            <c:bubble3D val="0"/>
            <c:spPr>
              <a:solidFill>
                <a:schemeClr val="accent3"/>
              </a:solidFill>
              <a:ln w="6350" cap="flat" cmpd="sng" algn="ctr">
                <a:solidFill>
                  <a:schemeClr val="accent3">
                    <a:shade val="50000"/>
                  </a:schemeClr>
                </a:solidFill>
                <a:prstDash val="solid"/>
                <a:round/>
              </a:ln>
              <a:effectLst/>
            </c:spPr>
            <c:extLst>
              <c:ext xmlns:c16="http://schemas.microsoft.com/office/drawing/2014/chart" uri="{C3380CC4-5D6E-409C-BE32-E72D297353CC}">
                <c16:uniqueId val="{00000005-E200-48EF-A4DF-8E10DF0E0B69}"/>
              </c:ext>
            </c:extLst>
          </c:dPt>
          <c:dPt>
            <c:idx val="3"/>
            <c:bubble3D val="0"/>
            <c:spPr>
              <a:solidFill>
                <a:schemeClr val="accent4"/>
              </a:solidFill>
              <a:ln w="6350" cap="flat" cmpd="sng" algn="ctr">
                <a:solidFill>
                  <a:schemeClr val="accent4">
                    <a:shade val="50000"/>
                  </a:schemeClr>
                </a:solidFill>
                <a:prstDash val="solid"/>
                <a:round/>
              </a:ln>
              <a:effectLst/>
            </c:spPr>
            <c:extLst>
              <c:ext xmlns:c16="http://schemas.microsoft.com/office/drawing/2014/chart" uri="{C3380CC4-5D6E-409C-BE32-E72D297353CC}">
                <c16:uniqueId val="{00000007-E200-48EF-A4DF-8E10DF0E0B69}"/>
              </c:ext>
            </c:extLst>
          </c:dPt>
          <c:dPt>
            <c:idx val="4"/>
            <c:bubble3D val="0"/>
            <c:spPr>
              <a:solidFill>
                <a:schemeClr val="accent5"/>
              </a:solidFill>
              <a:ln w="6350" cap="flat" cmpd="sng" algn="ctr">
                <a:solidFill>
                  <a:schemeClr val="accent5">
                    <a:shade val="50000"/>
                  </a:schemeClr>
                </a:solidFill>
                <a:prstDash val="solid"/>
                <a:round/>
              </a:ln>
              <a:effectLst/>
            </c:spPr>
            <c:extLst>
              <c:ext xmlns:c16="http://schemas.microsoft.com/office/drawing/2014/chart" uri="{C3380CC4-5D6E-409C-BE32-E72D297353CC}">
                <c16:uniqueId val="{00000009-E200-48EF-A4DF-8E10DF0E0B69}"/>
              </c:ext>
            </c:extLst>
          </c:dPt>
          <c:dLbls>
            <c:dLbl>
              <c:idx val="2"/>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5496815286624205"/>
                      <c:h val="0.18831877729257643"/>
                    </c:manualLayout>
                  </c15:layout>
                </c:ext>
                <c:ext xmlns:c16="http://schemas.microsoft.com/office/drawing/2014/chart" uri="{C3380CC4-5D6E-409C-BE32-E72D297353CC}">
                  <c16:uniqueId val="{00000005-E200-48EF-A4DF-8E10DF0E0B69}"/>
                </c:ext>
              </c:extLst>
            </c:dLbl>
            <c:dLbl>
              <c:idx val="3"/>
              <c:layout>
                <c:manualLayout>
                  <c:x val="0"/>
                  <c:y val="-9.84251968503930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00-48EF-A4DF-8E10DF0E0B6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6350" cap="flat" cmpd="sng" algn="ctr">
                  <a:solidFill>
                    <a:schemeClr val="dk1"/>
                  </a:solidFill>
                  <a:prstDash val="solid"/>
                  <a:round/>
                </a:ln>
                <a:effectLst/>
              </c:spPr>
            </c:leaderLines>
            <c:extLst>
              <c:ext xmlns:c15="http://schemas.microsoft.com/office/drawing/2012/chart" uri="{CE6537A1-D6FC-4f65-9D91-7224C49458BB}"/>
            </c:extLst>
          </c:dLbls>
          <c:cat>
            <c:strRef>
              <c:f>I_tiesas_apgabala_prok!$AR$6:$AR$10</c:f>
              <c:strCache>
                <c:ptCount val="4"/>
                <c:pt idx="0">
                  <c:v>Vispārējā kārtībā</c:v>
                </c:pt>
                <c:pt idx="1">
                  <c:v>Paātrinātā kārtībā</c:v>
                </c:pt>
                <c:pt idx="2">
                  <c:v>Slēdzot vienošanos</c:v>
                </c:pt>
                <c:pt idx="3">
                  <c:v>Medicīniska rakstura piespiedu līdzekļa piemērošana</c:v>
                </c:pt>
              </c:strCache>
            </c:strRef>
          </c:cat>
          <c:val>
            <c:numRef>
              <c:f>I_tiesas_apgabala_prok!$AS$6:$AS$10</c:f>
              <c:numCache>
                <c:formatCode>General</c:formatCode>
                <c:ptCount val="5"/>
                <c:pt idx="0">
                  <c:v>5598</c:v>
                </c:pt>
                <c:pt idx="1">
                  <c:v>1707</c:v>
                </c:pt>
                <c:pt idx="2">
                  <c:v>1473</c:v>
                </c:pt>
                <c:pt idx="3">
                  <c:v>109</c:v>
                </c:pt>
              </c:numCache>
            </c:numRef>
          </c:val>
          <c:extLst>
            <c:ext xmlns:c16="http://schemas.microsoft.com/office/drawing/2014/chart" uri="{C3380CC4-5D6E-409C-BE32-E72D297353CC}">
              <c16:uniqueId val="{0000000A-E200-48EF-A4DF-8E10DF0E0B69}"/>
            </c:ext>
          </c:extLst>
        </c:ser>
        <c:dLbls>
          <c:showLegendKey val="0"/>
          <c:showVal val="0"/>
          <c:showCatName val="0"/>
          <c:showSerName val="0"/>
          <c:showPercent val="1"/>
          <c:showBubbleSize val="0"/>
          <c:showLeaderLines val="1"/>
        </c:dLbls>
        <c:firstSliceAng val="0"/>
        <c:holeSize val="52"/>
      </c:doughnutChart>
      <c:spPr>
        <a:noFill/>
        <a:ln>
          <a:noFill/>
        </a:ln>
        <a:effectLst/>
      </c:spPr>
    </c:plotArea>
    <c:legend>
      <c:legendPos val="r"/>
      <c:legendEntry>
        <c:idx val="4"/>
        <c:delete val="1"/>
      </c:legendEntry>
      <c:layout>
        <c:manualLayout>
          <c:xMode val="edge"/>
          <c:yMode val="edge"/>
          <c:x val="0.67121197267560095"/>
          <c:y val="0.12033699647616425"/>
          <c:w val="0.3128939875892997"/>
          <c:h val="0.815670146177445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6350" cap="flat" cmpd="sng" algn="ctr">
      <a:solidFill>
        <a:schemeClr val="dk1">
          <a:tint val="75000"/>
        </a:schemeClr>
      </a:solidFill>
      <a:prstDash val="solid"/>
      <a:round/>
    </a:ln>
    <a:effectLst/>
  </c:spPr>
  <c:txPr>
    <a:bodyPr/>
    <a:lstStyle/>
    <a:p>
      <a:pPr>
        <a:defRPr>
          <a:solidFill>
            <a:schemeClr val="tx2"/>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v-LV" sz="1200" b="1" baseline="0">
                <a:solidFill>
                  <a:schemeClr val="tx1"/>
                </a:solidFill>
              </a:rPr>
              <a:t>Nodotas krimināllietas tiesām</a:t>
            </a:r>
          </a:p>
          <a:p>
            <a:pPr algn="ctr">
              <a:defRPr sz="1400"/>
            </a:pPr>
            <a:r>
              <a:rPr lang="lv-LV" sz="1200" b="1" baseline="0">
                <a:solidFill>
                  <a:schemeClr val="tx1"/>
                </a:solidFill>
              </a:rPr>
              <a:t>2019. gadā</a:t>
            </a:r>
            <a:endParaRPr lang="lv-LV" sz="1200" b="1">
              <a:solidFill>
                <a:schemeClr val="tx1"/>
              </a:solidFill>
            </a:endParaRPr>
          </a:p>
        </c:rich>
      </c:tx>
      <c:layout>
        <c:manualLayout>
          <c:xMode val="edge"/>
          <c:yMode val="edge"/>
          <c:x val="0.13080982104930547"/>
          <c:y val="2.145539066690506E-2"/>
        </c:manualLayout>
      </c:layout>
      <c:overlay val="0"/>
      <c:spPr>
        <a:noFill/>
        <a:ln>
          <a:noFill/>
        </a:ln>
        <a:effectLst/>
      </c:spPr>
      <c:txPr>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doughnutChart>
        <c:varyColors val="1"/>
        <c:ser>
          <c:idx val="0"/>
          <c:order val="0"/>
          <c:dPt>
            <c:idx val="0"/>
            <c:bubble3D val="0"/>
            <c:spPr>
              <a:solidFill>
                <a:schemeClr val="accent1"/>
              </a:solidFill>
              <a:ln w="6350" cap="flat" cmpd="sng" algn="ctr">
                <a:solidFill>
                  <a:schemeClr val="accent1">
                    <a:shade val="50000"/>
                  </a:schemeClr>
                </a:solidFill>
                <a:prstDash val="solid"/>
                <a:round/>
              </a:ln>
              <a:effectLst/>
            </c:spPr>
            <c:extLst>
              <c:ext xmlns:c16="http://schemas.microsoft.com/office/drawing/2014/chart" uri="{C3380CC4-5D6E-409C-BE32-E72D297353CC}">
                <c16:uniqueId val="{00000001-7201-4654-8C5E-E13E79272FC8}"/>
              </c:ext>
            </c:extLst>
          </c:dPt>
          <c:dPt>
            <c:idx val="1"/>
            <c:bubble3D val="0"/>
            <c:spPr>
              <a:solidFill>
                <a:schemeClr val="accent2"/>
              </a:solidFill>
              <a:ln w="6350" cap="flat" cmpd="sng" algn="ctr">
                <a:solidFill>
                  <a:schemeClr val="accent2">
                    <a:shade val="50000"/>
                  </a:schemeClr>
                </a:solidFill>
                <a:prstDash val="solid"/>
                <a:round/>
              </a:ln>
              <a:effectLst/>
            </c:spPr>
            <c:extLst>
              <c:ext xmlns:c16="http://schemas.microsoft.com/office/drawing/2014/chart" uri="{C3380CC4-5D6E-409C-BE32-E72D297353CC}">
                <c16:uniqueId val="{00000003-7201-4654-8C5E-E13E79272FC8}"/>
              </c:ext>
            </c:extLst>
          </c:dPt>
          <c:dPt>
            <c:idx val="2"/>
            <c:bubble3D val="0"/>
            <c:spPr>
              <a:solidFill>
                <a:schemeClr val="accent3"/>
              </a:solidFill>
              <a:ln w="6350" cap="flat" cmpd="sng" algn="ctr">
                <a:solidFill>
                  <a:schemeClr val="accent3">
                    <a:shade val="50000"/>
                  </a:schemeClr>
                </a:solidFill>
                <a:prstDash val="solid"/>
                <a:round/>
              </a:ln>
              <a:effectLst/>
            </c:spPr>
            <c:extLst>
              <c:ext xmlns:c16="http://schemas.microsoft.com/office/drawing/2014/chart" uri="{C3380CC4-5D6E-409C-BE32-E72D297353CC}">
                <c16:uniqueId val="{00000005-7201-4654-8C5E-E13E79272FC8}"/>
              </c:ext>
            </c:extLst>
          </c:dPt>
          <c:dPt>
            <c:idx val="3"/>
            <c:bubble3D val="0"/>
            <c:spPr>
              <a:solidFill>
                <a:schemeClr val="accent4"/>
              </a:solidFill>
              <a:ln w="6350" cap="flat" cmpd="sng" algn="ctr">
                <a:solidFill>
                  <a:schemeClr val="accent4">
                    <a:shade val="50000"/>
                  </a:schemeClr>
                </a:solidFill>
                <a:prstDash val="solid"/>
                <a:round/>
              </a:ln>
              <a:effectLst/>
            </c:spPr>
            <c:extLst>
              <c:ext xmlns:c16="http://schemas.microsoft.com/office/drawing/2014/chart" uri="{C3380CC4-5D6E-409C-BE32-E72D297353CC}">
                <c16:uniqueId val="{00000007-7201-4654-8C5E-E13E79272FC8}"/>
              </c:ext>
            </c:extLst>
          </c:dPt>
          <c:dLbls>
            <c:dLbl>
              <c:idx val="2"/>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5496815286624205"/>
                      <c:h val="0.18831877729257643"/>
                    </c:manualLayout>
                  </c15:layout>
                </c:ext>
                <c:ext xmlns:c16="http://schemas.microsoft.com/office/drawing/2014/chart" uri="{C3380CC4-5D6E-409C-BE32-E72D297353CC}">
                  <c16:uniqueId val="{00000005-7201-4654-8C5E-E13E79272FC8}"/>
                </c:ext>
              </c:extLst>
            </c:dLbl>
            <c:dLbl>
              <c:idx val="3"/>
              <c:layout>
                <c:manualLayout>
                  <c:x val="0"/>
                  <c:y val="-9.84251968503930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01-4654-8C5E-E13E79272FC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6350" cap="flat" cmpd="sng" algn="ctr">
                  <a:solidFill>
                    <a:schemeClr val="dk1"/>
                  </a:solidFill>
                  <a:prstDash val="solid"/>
                  <a:round/>
                </a:ln>
                <a:effectLst/>
              </c:spPr>
            </c:leaderLines>
            <c:extLst>
              <c:ext xmlns:c15="http://schemas.microsoft.com/office/drawing/2012/chart" uri="{CE6537A1-D6FC-4f65-9D91-7224C49458BB}"/>
            </c:extLst>
          </c:dLbls>
          <c:cat>
            <c:strRef>
              <c:f>I_tiesas_apgabala_prok!$AR$6:$AR$9</c:f>
              <c:strCache>
                <c:ptCount val="4"/>
                <c:pt idx="0">
                  <c:v>Vispārējā kārtībā</c:v>
                </c:pt>
                <c:pt idx="1">
                  <c:v>Paātrinātā kārtībā</c:v>
                </c:pt>
                <c:pt idx="2">
                  <c:v>Slēdzot vienošanos</c:v>
                </c:pt>
                <c:pt idx="3">
                  <c:v>Medicīniska rakstura piespiedu līdzekļa piemērošana</c:v>
                </c:pt>
              </c:strCache>
            </c:strRef>
          </c:cat>
          <c:val>
            <c:numRef>
              <c:f>I_tiesas_apgabala_prok!$AS$6:$AS$9</c:f>
              <c:numCache>
                <c:formatCode>General</c:formatCode>
                <c:ptCount val="4"/>
                <c:pt idx="0">
                  <c:v>5759</c:v>
                </c:pt>
                <c:pt idx="1">
                  <c:v>1346</c:v>
                </c:pt>
                <c:pt idx="2">
                  <c:v>1414</c:v>
                </c:pt>
                <c:pt idx="3">
                  <c:v>74</c:v>
                </c:pt>
              </c:numCache>
            </c:numRef>
          </c:val>
          <c:extLst>
            <c:ext xmlns:c16="http://schemas.microsoft.com/office/drawing/2014/chart" uri="{C3380CC4-5D6E-409C-BE32-E72D297353CC}">
              <c16:uniqueId val="{00000008-7201-4654-8C5E-E13E79272FC8}"/>
            </c:ext>
          </c:extLst>
        </c:ser>
        <c:dLbls>
          <c:showLegendKey val="0"/>
          <c:showVal val="0"/>
          <c:showCatName val="0"/>
          <c:showSerName val="0"/>
          <c:showPercent val="1"/>
          <c:showBubbleSize val="0"/>
          <c:showLeaderLines val="1"/>
        </c:dLbls>
        <c:firstSliceAng val="0"/>
        <c:holeSize val="52"/>
      </c:doughnutChart>
      <c:spPr>
        <a:noFill/>
        <a:ln>
          <a:noFill/>
        </a:ln>
        <a:effectLst/>
      </c:spPr>
    </c:plotArea>
    <c:legend>
      <c:legendPos val="r"/>
      <c:layout>
        <c:manualLayout>
          <c:xMode val="edge"/>
          <c:yMode val="edge"/>
          <c:x val="0.68556507303351344"/>
          <c:y val="0.13935459506410622"/>
          <c:w val="0.3064487696391871"/>
          <c:h val="0.7727789422005703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6350" cap="flat" cmpd="sng" algn="ctr">
      <a:solidFill>
        <a:schemeClr val="dk1">
          <a:tint val="75000"/>
        </a:schemeClr>
      </a:solidFill>
      <a:prstDash val="solid"/>
      <a:round/>
    </a:ln>
    <a:effectLst/>
  </c:spPr>
  <c:txPr>
    <a:bodyPr/>
    <a:lstStyle/>
    <a:p>
      <a:pPr>
        <a:defRPr>
          <a:solidFill>
            <a:schemeClr val="tx2"/>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v-LV" sz="1200" b="1" baseline="0">
                <a:solidFill>
                  <a:schemeClr val="tx1"/>
                </a:solidFill>
              </a:rPr>
              <a:t>Nodotas krimināllietas tiesām</a:t>
            </a:r>
          </a:p>
          <a:p>
            <a:pPr algn="ctr">
              <a:defRPr sz="1400"/>
            </a:pPr>
            <a:r>
              <a:rPr lang="lv-LV" sz="1200" b="1" baseline="0">
                <a:solidFill>
                  <a:schemeClr val="tx1"/>
                </a:solidFill>
              </a:rPr>
              <a:t>2020. gadā</a:t>
            </a:r>
          </a:p>
        </c:rich>
      </c:tx>
      <c:layout>
        <c:manualLayout>
          <c:xMode val="edge"/>
          <c:yMode val="edge"/>
          <c:x val="0.13080982104930547"/>
          <c:y val="2.145539066690506E-2"/>
        </c:manualLayout>
      </c:layout>
      <c:overlay val="0"/>
      <c:spPr>
        <a:noFill/>
        <a:ln>
          <a:noFill/>
        </a:ln>
        <a:effectLst/>
      </c:spPr>
      <c:txPr>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doughnutChart>
        <c:varyColors val="1"/>
        <c:ser>
          <c:idx val="0"/>
          <c:order val="0"/>
          <c:dPt>
            <c:idx val="0"/>
            <c:bubble3D val="0"/>
            <c:spPr>
              <a:solidFill>
                <a:schemeClr val="accent1"/>
              </a:solidFill>
              <a:ln w="6350" cap="flat" cmpd="sng" algn="ctr">
                <a:solidFill>
                  <a:schemeClr val="accent1">
                    <a:shade val="50000"/>
                  </a:schemeClr>
                </a:solidFill>
                <a:prstDash val="solid"/>
                <a:round/>
              </a:ln>
              <a:effectLst/>
            </c:spPr>
            <c:extLst>
              <c:ext xmlns:c16="http://schemas.microsoft.com/office/drawing/2014/chart" uri="{C3380CC4-5D6E-409C-BE32-E72D297353CC}">
                <c16:uniqueId val="{00000001-B650-49F9-BE7B-DA0ACFCB17E0}"/>
              </c:ext>
            </c:extLst>
          </c:dPt>
          <c:dPt>
            <c:idx val="1"/>
            <c:bubble3D val="0"/>
            <c:spPr>
              <a:solidFill>
                <a:schemeClr val="accent2"/>
              </a:solidFill>
              <a:ln w="6350" cap="flat" cmpd="sng" algn="ctr">
                <a:solidFill>
                  <a:schemeClr val="accent2">
                    <a:shade val="50000"/>
                  </a:schemeClr>
                </a:solidFill>
                <a:prstDash val="solid"/>
                <a:round/>
              </a:ln>
              <a:effectLst/>
            </c:spPr>
            <c:extLst>
              <c:ext xmlns:c16="http://schemas.microsoft.com/office/drawing/2014/chart" uri="{C3380CC4-5D6E-409C-BE32-E72D297353CC}">
                <c16:uniqueId val="{00000003-B650-49F9-BE7B-DA0ACFCB17E0}"/>
              </c:ext>
            </c:extLst>
          </c:dPt>
          <c:dPt>
            <c:idx val="2"/>
            <c:bubble3D val="0"/>
            <c:spPr>
              <a:solidFill>
                <a:schemeClr val="accent3"/>
              </a:solidFill>
              <a:ln w="6350" cap="flat" cmpd="sng" algn="ctr">
                <a:solidFill>
                  <a:schemeClr val="accent3">
                    <a:shade val="50000"/>
                  </a:schemeClr>
                </a:solidFill>
                <a:prstDash val="solid"/>
                <a:round/>
              </a:ln>
              <a:effectLst/>
            </c:spPr>
            <c:extLst>
              <c:ext xmlns:c16="http://schemas.microsoft.com/office/drawing/2014/chart" uri="{C3380CC4-5D6E-409C-BE32-E72D297353CC}">
                <c16:uniqueId val="{00000005-B650-49F9-BE7B-DA0ACFCB17E0}"/>
              </c:ext>
            </c:extLst>
          </c:dPt>
          <c:dPt>
            <c:idx val="3"/>
            <c:bubble3D val="0"/>
            <c:spPr>
              <a:solidFill>
                <a:schemeClr val="accent4"/>
              </a:solidFill>
              <a:ln w="6350" cap="flat" cmpd="sng" algn="ctr">
                <a:solidFill>
                  <a:schemeClr val="accent4">
                    <a:shade val="50000"/>
                  </a:schemeClr>
                </a:solidFill>
                <a:prstDash val="solid"/>
                <a:round/>
              </a:ln>
              <a:effectLst/>
            </c:spPr>
            <c:extLst>
              <c:ext xmlns:c16="http://schemas.microsoft.com/office/drawing/2014/chart" uri="{C3380CC4-5D6E-409C-BE32-E72D297353CC}">
                <c16:uniqueId val="{00000007-B650-49F9-BE7B-DA0ACFCB17E0}"/>
              </c:ext>
            </c:extLst>
          </c:dPt>
          <c:dPt>
            <c:idx val="4"/>
            <c:bubble3D val="0"/>
            <c:spPr>
              <a:solidFill>
                <a:schemeClr val="accent5"/>
              </a:solidFill>
              <a:ln w="6350" cap="flat" cmpd="sng" algn="ctr">
                <a:solidFill>
                  <a:schemeClr val="accent5">
                    <a:shade val="50000"/>
                  </a:schemeClr>
                </a:solidFill>
                <a:prstDash val="solid"/>
                <a:round/>
              </a:ln>
              <a:effectLst/>
            </c:spPr>
            <c:extLst>
              <c:ext xmlns:c16="http://schemas.microsoft.com/office/drawing/2014/chart" uri="{C3380CC4-5D6E-409C-BE32-E72D297353CC}">
                <c16:uniqueId val="{00000009-B650-49F9-BE7B-DA0ACFCB17E0}"/>
              </c:ext>
            </c:extLst>
          </c:dPt>
          <c:dLbls>
            <c:dLbl>
              <c:idx val="2"/>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5496815286624205"/>
                      <c:h val="0.18831877729257643"/>
                    </c:manualLayout>
                  </c15:layout>
                </c:ext>
                <c:ext xmlns:c16="http://schemas.microsoft.com/office/drawing/2014/chart" uri="{C3380CC4-5D6E-409C-BE32-E72D297353CC}">
                  <c16:uniqueId val="{00000005-B650-49F9-BE7B-DA0ACFCB17E0}"/>
                </c:ext>
              </c:extLst>
            </c:dLbl>
            <c:dLbl>
              <c:idx val="3"/>
              <c:layout>
                <c:manualLayout>
                  <c:x val="0"/>
                  <c:y val="-9.84251968503930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50-49F9-BE7B-DA0ACFCB17E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6350" cap="flat" cmpd="sng" algn="ctr">
                  <a:solidFill>
                    <a:schemeClr val="dk1"/>
                  </a:solidFill>
                  <a:prstDash val="solid"/>
                  <a:round/>
                </a:ln>
                <a:effectLst/>
              </c:spPr>
            </c:leaderLines>
            <c:extLst>
              <c:ext xmlns:c15="http://schemas.microsoft.com/office/drawing/2012/chart" uri="{CE6537A1-D6FC-4f65-9D91-7224C49458BB}"/>
            </c:extLst>
          </c:dLbls>
          <c:cat>
            <c:strRef>
              <c:f>I_tiesas_apgabala_prok!$AR$6:$AR$10</c:f>
              <c:strCache>
                <c:ptCount val="4"/>
                <c:pt idx="0">
                  <c:v>Vispārējā kārtībā</c:v>
                </c:pt>
                <c:pt idx="1">
                  <c:v>Paātrinātā kārtībā</c:v>
                </c:pt>
                <c:pt idx="2">
                  <c:v>Slēdzot vienošanos</c:v>
                </c:pt>
                <c:pt idx="3">
                  <c:v>Medicīniska rakstura piespiedu līdzekļa piemērošana</c:v>
                </c:pt>
              </c:strCache>
            </c:strRef>
          </c:cat>
          <c:val>
            <c:numRef>
              <c:f>I_tiesas_apgabala_prok!$AS$6:$AS$10</c:f>
              <c:numCache>
                <c:formatCode>General</c:formatCode>
                <c:ptCount val="5"/>
                <c:pt idx="0">
                  <c:v>5446</c:v>
                </c:pt>
                <c:pt idx="1">
                  <c:v>932</c:v>
                </c:pt>
                <c:pt idx="2">
                  <c:v>1630</c:v>
                </c:pt>
                <c:pt idx="3">
                  <c:v>80</c:v>
                </c:pt>
              </c:numCache>
            </c:numRef>
          </c:val>
          <c:extLst>
            <c:ext xmlns:c16="http://schemas.microsoft.com/office/drawing/2014/chart" uri="{C3380CC4-5D6E-409C-BE32-E72D297353CC}">
              <c16:uniqueId val="{0000000A-B650-49F9-BE7B-DA0ACFCB17E0}"/>
            </c:ext>
          </c:extLst>
        </c:ser>
        <c:dLbls>
          <c:showLegendKey val="0"/>
          <c:showVal val="0"/>
          <c:showCatName val="0"/>
          <c:showSerName val="0"/>
          <c:showPercent val="1"/>
          <c:showBubbleSize val="0"/>
          <c:showLeaderLines val="1"/>
        </c:dLbls>
        <c:firstSliceAng val="0"/>
        <c:holeSize val="52"/>
      </c:doughnutChart>
      <c:spPr>
        <a:noFill/>
        <a:ln>
          <a:noFill/>
        </a:ln>
        <a:effectLst/>
      </c:spPr>
    </c:plotArea>
    <c:legend>
      <c:legendPos val="r"/>
      <c:legendEntry>
        <c:idx val="4"/>
        <c:delete val="1"/>
      </c:legendEntry>
      <c:layout>
        <c:manualLayout>
          <c:xMode val="edge"/>
          <c:yMode val="edge"/>
          <c:x val="0.64142982707207996"/>
          <c:y val="0.19739322357432595"/>
          <c:w val="0.34273485535885745"/>
          <c:h val="0.707606501110438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6350" cap="flat" cmpd="sng" algn="ctr">
      <a:solidFill>
        <a:schemeClr val="dk1">
          <a:tint val="75000"/>
        </a:schemeClr>
      </a:solidFill>
      <a:prstDash val="solid"/>
      <a:round/>
    </a:ln>
    <a:effectLst/>
  </c:spPr>
  <c:txPr>
    <a:bodyPr/>
    <a:lstStyle/>
    <a:p>
      <a:pPr>
        <a:defRPr>
          <a:solidFill>
            <a:schemeClr val="tx2"/>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mn-cs"/>
              </a:defRPr>
            </a:pPr>
            <a:r>
              <a:rPr lang="lv-LV" sz="1200" b="1" i="0" baseline="0">
                <a:solidFill>
                  <a:schemeClr val="tx1"/>
                </a:solidFill>
              </a:rPr>
              <a:t>Izskatītas krimināllietas bez pierādījumu pārbaudes pirmās instances tiesās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mn-cs"/>
            </a:defRPr>
          </a:pPr>
          <a:endParaRPr lang="lv-LV"/>
        </a:p>
      </c:txPr>
    </c:title>
    <c:autoTitleDeleted val="0"/>
    <c:plotArea>
      <c:layout/>
      <c:barChart>
        <c:barDir val="col"/>
        <c:grouping val="stacked"/>
        <c:varyColors val="0"/>
        <c:ser>
          <c:idx val="0"/>
          <c:order val="0"/>
          <c:tx>
            <c:strRef>
              <c:f>Sheet1!$B$1</c:f>
              <c:strCache>
                <c:ptCount val="1"/>
                <c:pt idx="0">
                  <c:v>Column2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5327</c:v>
                </c:pt>
                <c:pt idx="1">
                  <c:v>4705</c:v>
                </c:pt>
                <c:pt idx="2">
                  <c:v>4061</c:v>
                </c:pt>
              </c:numCache>
            </c:numRef>
          </c:val>
          <c:extLst>
            <c:ext xmlns:c16="http://schemas.microsoft.com/office/drawing/2014/chart" uri="{C3380CC4-5D6E-409C-BE32-E72D297353CC}">
              <c16:uniqueId val="{00000000-0582-4911-86D0-D0DD1AECDE70}"/>
            </c:ext>
          </c:extLst>
        </c:ser>
        <c:ser>
          <c:idx val="1"/>
          <c:order val="1"/>
          <c:tx>
            <c:strRef>
              <c:f>Sheet1!$C$1</c:f>
              <c:strCache>
                <c:ptCount val="1"/>
              </c:strCache>
            </c:strRef>
          </c:tx>
          <c:spPr>
            <a:solidFill>
              <a:schemeClr val="accent5"/>
            </a:solidFill>
            <a:ln>
              <a:noFill/>
            </a:ln>
            <a:effectLst/>
          </c:spPr>
          <c:invertIfNegative val="0"/>
          <c:cat>
            <c:numRef>
              <c:f>Sheet1!$A$2:$A$4</c:f>
              <c:numCache>
                <c:formatCode>General</c:formatCode>
                <c:ptCount val="3"/>
                <c:pt idx="0">
                  <c:v>2018</c:v>
                </c:pt>
                <c:pt idx="1">
                  <c:v>2019</c:v>
                </c:pt>
                <c:pt idx="2">
                  <c:v>2020</c:v>
                </c:pt>
              </c:numCache>
            </c:numRef>
          </c:cat>
          <c:val>
            <c:numRef>
              <c:f>Sheet1!$C$2:$C$4</c:f>
              <c:numCache>
                <c:formatCode>General</c:formatCode>
                <c:ptCount val="3"/>
              </c:numCache>
            </c:numRef>
          </c:val>
          <c:extLst>
            <c:ext xmlns:c16="http://schemas.microsoft.com/office/drawing/2014/chart" uri="{C3380CC4-5D6E-409C-BE32-E72D297353CC}">
              <c16:uniqueId val="{00000001-0582-4911-86D0-D0DD1AECDE70}"/>
            </c:ext>
          </c:extLst>
        </c:ser>
        <c:dLbls>
          <c:showLegendKey val="0"/>
          <c:showVal val="0"/>
          <c:showCatName val="0"/>
          <c:showSerName val="0"/>
          <c:showPercent val="0"/>
          <c:showBubbleSize val="0"/>
        </c:dLbls>
        <c:gapWidth val="150"/>
        <c:overlap val="100"/>
        <c:axId val="340953632"/>
        <c:axId val="340957240"/>
      </c:barChart>
      <c:catAx>
        <c:axId val="34095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mn-cs"/>
              </a:defRPr>
            </a:pPr>
            <a:endParaRPr lang="lv-LV"/>
          </a:p>
        </c:txPr>
        <c:crossAx val="340957240"/>
        <c:crosses val="autoZero"/>
        <c:auto val="1"/>
        <c:lblAlgn val="ctr"/>
        <c:lblOffset val="100"/>
        <c:noMultiLvlLbl val="0"/>
      </c:catAx>
      <c:valAx>
        <c:axId val="3409572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0953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latin typeface="Times New Roman" panose="02020603050405020304" pitchFamily="18" charset="0"/>
        </a:defRPr>
      </a:pPr>
      <a:endParaRPr lang="lv-LV"/>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sz="1200" b="1">
                <a:solidFill>
                  <a:schemeClr val="tx1"/>
                </a:solidFill>
                <a:effectLst/>
                <a:latin typeface="Times New Roman" panose="02020603050405020304" pitchFamily="18" charset="0"/>
                <a:cs typeface="Times New Roman" panose="02020603050405020304" pitchFamily="18" charset="0"/>
              </a:rPr>
              <a:t>Prokuroru iesniegtie protesti krimināllietās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Apelācijas protesti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250</c:v>
                </c:pt>
                <c:pt idx="1">
                  <c:v>339</c:v>
                </c:pt>
                <c:pt idx="2">
                  <c:v>252</c:v>
                </c:pt>
              </c:numCache>
            </c:numRef>
          </c:val>
          <c:extLst>
            <c:ext xmlns:c16="http://schemas.microsoft.com/office/drawing/2014/chart" uri="{C3380CC4-5D6E-409C-BE32-E72D297353CC}">
              <c16:uniqueId val="{00000000-B189-49CA-8D5A-3C87E34AD24C}"/>
            </c:ext>
          </c:extLst>
        </c:ser>
        <c:ser>
          <c:idx val="1"/>
          <c:order val="1"/>
          <c:tx>
            <c:strRef>
              <c:f>Sheet1!$C$1</c:f>
              <c:strCache>
                <c:ptCount val="1"/>
                <c:pt idx="0">
                  <c:v>Kasācijas protesti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Sheet1!$C$2:$C$4</c:f>
              <c:numCache>
                <c:formatCode>General</c:formatCode>
                <c:ptCount val="3"/>
                <c:pt idx="0">
                  <c:v>102</c:v>
                </c:pt>
                <c:pt idx="1">
                  <c:v>125</c:v>
                </c:pt>
                <c:pt idx="2">
                  <c:v>88</c:v>
                </c:pt>
              </c:numCache>
            </c:numRef>
          </c:val>
          <c:extLst>
            <c:ext xmlns:c16="http://schemas.microsoft.com/office/drawing/2014/chart" uri="{C3380CC4-5D6E-409C-BE32-E72D297353CC}">
              <c16:uniqueId val="{00000001-B189-49CA-8D5A-3C87E34AD24C}"/>
            </c:ext>
          </c:extLst>
        </c:ser>
        <c:ser>
          <c:idx val="2"/>
          <c:order val="2"/>
          <c:tx>
            <c:strRef>
              <c:f>Sheet1!$D$1</c:f>
              <c:strCache>
                <c:ptCount val="1"/>
                <c:pt idx="0">
                  <c:v>KPL 61. un 63.nodaļas kārtībā</c:v>
                </c:pt>
              </c:strCache>
            </c:strRef>
          </c:tx>
          <c:spPr>
            <a:solidFill>
              <a:schemeClr val="accent3"/>
            </a:solidFill>
            <a:ln>
              <a:noFill/>
            </a:ln>
            <a:effectLst/>
          </c:spPr>
          <c:invertIfNegative val="0"/>
          <c:dLbls>
            <c:dLbl>
              <c:idx val="0"/>
              <c:layout>
                <c:manualLayout>
                  <c:x val="2.5575447570332483E-3"/>
                  <c:y val="3.95485950285626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89-49CA-8D5A-3C87E34AD24C}"/>
                </c:ext>
              </c:extLst>
            </c:dLbl>
            <c:dLbl>
              <c:idx val="1"/>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extLst>
                <c:ext xmlns:c15="http://schemas.microsoft.com/office/drawing/2012/chart" uri="{CE6537A1-D6FC-4f65-9D91-7224C49458BB}">
                  <c15:layout>
                    <c:manualLayout>
                      <c:w val="4.0920716112531973E-2"/>
                      <c:h val="0.13174019607843138"/>
                    </c:manualLayout>
                  </c15:layout>
                </c:ext>
                <c:ext xmlns:c16="http://schemas.microsoft.com/office/drawing/2014/chart" uri="{C3380CC4-5D6E-409C-BE32-E72D297353CC}">
                  <c16:uniqueId val="{00000003-B189-49CA-8D5A-3C87E34AD24C}"/>
                </c:ext>
              </c:extLst>
            </c:dLbl>
            <c:dLbl>
              <c:idx val="2"/>
              <c:layout>
                <c:manualLayout>
                  <c:x val="0"/>
                  <c:y val="8.039987648602747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manualLayout>
                      <c:w val="4.0920716112531973E-2"/>
                      <c:h val="0.23590686274509803"/>
                    </c:manualLayout>
                  </c15:layout>
                </c:ext>
                <c:ext xmlns:c16="http://schemas.microsoft.com/office/drawing/2014/chart" uri="{C3380CC4-5D6E-409C-BE32-E72D297353CC}">
                  <c16:uniqueId val="{00000004-B189-49CA-8D5A-3C87E34AD24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Sheet1!$D$2:$D$4</c:f>
              <c:numCache>
                <c:formatCode>General</c:formatCode>
                <c:ptCount val="3"/>
                <c:pt idx="0">
                  <c:v>61</c:v>
                </c:pt>
                <c:pt idx="1">
                  <c:v>38</c:v>
                </c:pt>
                <c:pt idx="2">
                  <c:v>44</c:v>
                </c:pt>
              </c:numCache>
            </c:numRef>
          </c:val>
          <c:extLst>
            <c:ext xmlns:c16="http://schemas.microsoft.com/office/drawing/2014/chart" uri="{C3380CC4-5D6E-409C-BE32-E72D297353CC}">
              <c16:uniqueId val="{00000005-B189-49CA-8D5A-3C87E34AD24C}"/>
            </c:ext>
          </c:extLst>
        </c:ser>
        <c:dLbls>
          <c:showLegendKey val="0"/>
          <c:showVal val="0"/>
          <c:showCatName val="0"/>
          <c:showSerName val="0"/>
          <c:showPercent val="0"/>
          <c:showBubbleSize val="0"/>
        </c:dLbls>
        <c:gapWidth val="219"/>
        <c:axId val="504351224"/>
        <c:axId val="504347288"/>
      </c:barChart>
      <c:catAx>
        <c:axId val="50435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04347288"/>
        <c:crosses val="autoZero"/>
        <c:auto val="1"/>
        <c:lblAlgn val="ctr"/>
        <c:lblOffset val="100"/>
        <c:noMultiLvlLbl val="0"/>
      </c:catAx>
      <c:valAx>
        <c:axId val="5043472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4351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chemeClr val="tx1"/>
                </a:solidFill>
                <a:latin typeface="Times New Roman" panose="02020603050405020304" pitchFamily="18" charset="0"/>
                <a:cs typeface="Times New Roman" panose="02020603050405020304" pitchFamily="18" charset="0"/>
              </a:rPr>
              <a:t>Prokuratūrā</a:t>
            </a:r>
            <a:r>
              <a:rPr lang="lv-LV" sz="1200" b="1" baseline="0">
                <a:solidFill>
                  <a:schemeClr val="tx1"/>
                </a:solidFill>
                <a:latin typeface="Times New Roman" panose="02020603050405020304" pitchFamily="18" charset="0"/>
                <a:cs typeface="Times New Roman" panose="02020603050405020304" pitchFamily="18" charset="0"/>
              </a:rPr>
              <a:t> u</a:t>
            </a:r>
            <a:r>
              <a:rPr lang="lv-LV" sz="1200" b="1">
                <a:solidFill>
                  <a:schemeClr val="tx1"/>
                </a:solidFill>
                <a:latin typeface="Times New Roman" panose="02020603050405020304" pitchFamily="18" charset="0"/>
                <a:cs typeface="Times New Roman" panose="02020603050405020304" pitchFamily="18" charset="0"/>
              </a:rPr>
              <a:t>zsākti</a:t>
            </a:r>
            <a:r>
              <a:rPr lang="lv-LV" sz="1200" b="1" baseline="0">
                <a:solidFill>
                  <a:schemeClr val="tx1"/>
                </a:solidFill>
                <a:latin typeface="Times New Roman" panose="02020603050405020304" pitchFamily="18" charset="0"/>
                <a:cs typeface="Times New Roman" panose="02020603050405020304" pitchFamily="18" charset="0"/>
              </a:rPr>
              <a:t> kriminālprocesi</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3"/>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6="http://schemas.microsoft.com/office/drawing/2014/chart" uri="{C3380CC4-5D6E-409C-BE32-E72D297353CC}">
                  <c16:uniqueId val="{00000000-E6AC-45BE-AFDC-1727799F84D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6="http://schemas.microsoft.com/office/drawing/2014/chart" uri="{C3380CC4-5D6E-409C-BE32-E72D297353CC}">
                  <c16:uniqueId val="{00000001-E6AC-45BE-AFDC-1727799F84D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6="http://schemas.microsoft.com/office/drawing/2014/chart" uri="{C3380CC4-5D6E-409C-BE32-E72D297353CC}">
                  <c16:uniqueId val="{00000002-E6AC-45BE-AFDC-1727799F84D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635</c:v>
                </c:pt>
                <c:pt idx="1">
                  <c:v>666</c:v>
                </c:pt>
                <c:pt idx="2">
                  <c:v>584</c:v>
                </c:pt>
              </c:numCache>
            </c:numRef>
          </c:val>
          <c:extLst>
            <c:ext xmlns:c16="http://schemas.microsoft.com/office/drawing/2014/chart" uri="{C3380CC4-5D6E-409C-BE32-E72D297353CC}">
              <c16:uniqueId val="{00000003-E6AC-45BE-AFDC-1727799F84D4}"/>
            </c:ext>
          </c:extLst>
        </c:ser>
        <c:dLbls>
          <c:showLegendKey val="0"/>
          <c:showVal val="0"/>
          <c:showCatName val="0"/>
          <c:showSerName val="0"/>
          <c:showPercent val="0"/>
          <c:showBubbleSize val="0"/>
        </c:dLbls>
        <c:gapWidth val="219"/>
        <c:overlap val="-27"/>
        <c:axId val="505948448"/>
        <c:axId val="505946152"/>
      </c:barChart>
      <c:catAx>
        <c:axId val="5059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05946152"/>
        <c:crosses val="autoZero"/>
        <c:auto val="1"/>
        <c:lblAlgn val="ctr"/>
        <c:lblOffset val="100"/>
        <c:noMultiLvlLbl val="0"/>
      </c:catAx>
      <c:valAx>
        <c:axId val="5059461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594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chemeClr val="tx1"/>
                </a:solidFill>
                <a:latin typeface="Times New Roman" panose="02020603050405020304" pitchFamily="18" charset="0"/>
                <a:cs typeface="Times New Roman" panose="02020603050405020304" pitchFamily="18" charset="0"/>
              </a:rPr>
              <a:t>Pārbaudīti</a:t>
            </a:r>
            <a:r>
              <a:rPr lang="lv-LV" sz="1200" b="1" baseline="0">
                <a:solidFill>
                  <a:schemeClr val="tx1"/>
                </a:solidFill>
                <a:latin typeface="Times New Roman" panose="02020603050405020304" pitchFamily="18" charset="0"/>
                <a:cs typeface="Times New Roman" panose="02020603050405020304" pitchFamily="18" charset="0"/>
              </a:rPr>
              <a:t> atteikuma materiāli</a:t>
            </a:r>
          </a:p>
          <a:p>
            <a:pPr>
              <a:defRPr/>
            </a:pPr>
            <a:r>
              <a:rPr lang="lv-LV" sz="1200" b="1" baseline="0">
                <a:solidFill>
                  <a:schemeClr val="tx1"/>
                </a:solidFill>
                <a:latin typeface="Times New Roman" panose="02020603050405020304" pitchFamily="18" charset="0"/>
                <a:cs typeface="Times New Roman" panose="02020603050405020304" pitchFamily="18" charset="0"/>
              </a:rPr>
              <a:t>(pēc prokurora iniciatīvas)</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24582</c:v>
                </c:pt>
                <c:pt idx="1">
                  <c:v>23740</c:v>
                </c:pt>
                <c:pt idx="2">
                  <c:v>20786</c:v>
                </c:pt>
              </c:numCache>
            </c:numRef>
          </c:val>
          <c:extLst>
            <c:ext xmlns:c16="http://schemas.microsoft.com/office/drawing/2014/chart" uri="{C3380CC4-5D6E-409C-BE32-E72D297353CC}">
              <c16:uniqueId val="{00000000-5CD1-4300-B89E-C7A4D0BDBC3E}"/>
            </c:ext>
          </c:extLst>
        </c:ser>
        <c:dLbls>
          <c:showLegendKey val="0"/>
          <c:showVal val="0"/>
          <c:showCatName val="0"/>
          <c:showSerName val="0"/>
          <c:showPercent val="0"/>
          <c:showBubbleSize val="0"/>
        </c:dLbls>
        <c:gapWidth val="219"/>
        <c:overlap val="-27"/>
        <c:axId val="583289160"/>
        <c:axId val="583294408"/>
      </c:barChart>
      <c:catAx>
        <c:axId val="583289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83294408"/>
        <c:crosses val="autoZero"/>
        <c:auto val="1"/>
        <c:lblAlgn val="ctr"/>
        <c:lblOffset val="100"/>
        <c:noMultiLvlLbl val="0"/>
      </c:catAx>
      <c:valAx>
        <c:axId val="583294408"/>
        <c:scaling>
          <c:orientation val="minMax"/>
          <c:max val="25000"/>
          <c:min val="5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83289160"/>
        <c:crosses val="autoZero"/>
        <c:crossBetween val="between"/>
        <c:majorUnit val="5000"/>
        <c:minorUnit val="3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lv-LV" sz="1200" b="1">
                <a:solidFill>
                  <a:schemeClr val="tx1"/>
                </a:solidFill>
                <a:effectLst/>
                <a:latin typeface="Times New Roman" panose="02020603050405020304" pitchFamily="18" charset="0"/>
                <a:cs typeface="Times New Roman" panose="02020603050405020304" pitchFamily="18" charset="0"/>
              </a:rPr>
              <a:t>Prokuroru dotie norādījumi izmeklēšanas iestādēm</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lv-LV"/>
        </a:p>
      </c:txPr>
    </c:title>
    <c:autoTitleDeleted val="0"/>
    <c:plotArea>
      <c:layout>
        <c:manualLayout>
          <c:layoutTarget val="inner"/>
          <c:xMode val="edge"/>
          <c:yMode val="edge"/>
          <c:x val="2.8132992327365727E-2"/>
          <c:y val="0.18903803131991051"/>
          <c:w val="0.94373401534526857"/>
          <c:h val="0.57671044055734644"/>
        </c:manualLayout>
      </c:layout>
      <c:barChart>
        <c:barDir val="col"/>
        <c:grouping val="clustered"/>
        <c:varyColors val="0"/>
        <c:ser>
          <c:idx val="0"/>
          <c:order val="0"/>
          <c:tx>
            <c:strRef>
              <c:f>Sheet1!$B$1</c:f>
              <c:strCache>
                <c:ptCount val="1"/>
                <c:pt idx="0">
                  <c:v>Kopā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18389</c:v>
                </c:pt>
                <c:pt idx="1">
                  <c:v>21906</c:v>
                </c:pt>
                <c:pt idx="2">
                  <c:v>21014</c:v>
                </c:pt>
              </c:numCache>
            </c:numRef>
          </c:val>
          <c:extLst>
            <c:ext xmlns:c16="http://schemas.microsoft.com/office/drawing/2014/chart" uri="{C3380CC4-5D6E-409C-BE32-E72D297353CC}">
              <c16:uniqueId val="{00000000-15AB-4238-84C3-3F072846923A}"/>
            </c:ext>
          </c:extLst>
        </c:ser>
        <c:ser>
          <c:idx val="1"/>
          <c:order val="1"/>
          <c:tx>
            <c:strRef>
              <c:f>Sheet1!$C$1</c:f>
              <c:strCache>
                <c:ptCount val="1"/>
                <c:pt idx="0">
                  <c:v>No tiem mutiski</c:v>
                </c:pt>
              </c:strCache>
            </c:strRef>
          </c:tx>
          <c:spPr>
            <a:solidFill>
              <a:schemeClr val="accent2"/>
            </a:solidFill>
            <a:ln>
              <a:noFill/>
            </a:ln>
            <a:effectLst/>
          </c:spPr>
          <c:invertIfNegative val="0"/>
          <c:dLbls>
            <c:dLbl>
              <c:idx val="0"/>
              <c:layout>
                <c:manualLayout>
                  <c:x val="0"/>
                  <c:y val="8.46881815829359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AB-4238-84C3-3F072846923A}"/>
                </c:ext>
              </c:extLst>
            </c:dLbl>
            <c:dLbl>
              <c:idx val="2"/>
              <c:layout>
                <c:manualLayout>
                  <c:x val="-9.3775557787973344E-17"/>
                  <c:y val="7.90954123692284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AB-4238-84C3-3F072846923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Sheet1!$C$2:$C$4</c:f>
              <c:numCache>
                <c:formatCode>General</c:formatCode>
                <c:ptCount val="3"/>
                <c:pt idx="0">
                  <c:v>10630</c:v>
                </c:pt>
                <c:pt idx="1">
                  <c:v>13380</c:v>
                </c:pt>
                <c:pt idx="2">
                  <c:v>12108</c:v>
                </c:pt>
              </c:numCache>
            </c:numRef>
          </c:val>
          <c:extLst>
            <c:ext xmlns:c16="http://schemas.microsoft.com/office/drawing/2014/chart" uri="{C3380CC4-5D6E-409C-BE32-E72D297353CC}">
              <c16:uniqueId val="{00000003-15AB-4238-84C3-3F072846923A}"/>
            </c:ext>
          </c:extLst>
        </c:ser>
        <c:ser>
          <c:idx val="2"/>
          <c:order val="2"/>
          <c:tx>
            <c:strRef>
              <c:f>Sheet1!$D$1</c:f>
              <c:strCache>
                <c:ptCount val="1"/>
                <c:pt idx="0">
                  <c:v>No tiem rakstiski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Sheet1!$D$2:$D$4</c:f>
              <c:numCache>
                <c:formatCode>General</c:formatCode>
                <c:ptCount val="3"/>
                <c:pt idx="0">
                  <c:v>7759</c:v>
                </c:pt>
                <c:pt idx="1">
                  <c:v>852</c:v>
                </c:pt>
                <c:pt idx="2">
                  <c:v>8906</c:v>
                </c:pt>
              </c:numCache>
            </c:numRef>
          </c:val>
          <c:extLst>
            <c:ext xmlns:c16="http://schemas.microsoft.com/office/drawing/2014/chart" uri="{C3380CC4-5D6E-409C-BE32-E72D297353CC}">
              <c16:uniqueId val="{00000004-15AB-4238-84C3-3F072846923A}"/>
            </c:ext>
          </c:extLst>
        </c:ser>
        <c:dLbls>
          <c:showLegendKey val="0"/>
          <c:showVal val="0"/>
          <c:showCatName val="0"/>
          <c:showSerName val="0"/>
          <c:showPercent val="0"/>
          <c:showBubbleSize val="0"/>
        </c:dLbls>
        <c:gapWidth val="219"/>
        <c:overlap val="100"/>
        <c:axId val="504351224"/>
        <c:axId val="504347288"/>
      </c:barChart>
      <c:catAx>
        <c:axId val="50435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04347288"/>
        <c:crosses val="autoZero"/>
        <c:auto val="1"/>
        <c:lblAlgn val="ctr"/>
        <c:lblOffset val="100"/>
        <c:noMultiLvlLbl val="0"/>
      </c:catAx>
      <c:valAx>
        <c:axId val="5043472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4351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v-LV" sz="1200" b="1">
                <a:solidFill>
                  <a:schemeClr val="tx1"/>
                </a:solidFill>
                <a:latin typeface="Times New Roman" panose="02020603050405020304" pitchFamily="18" charset="0"/>
                <a:cs typeface="Times New Roman" panose="02020603050405020304" pitchFamily="18" charset="0"/>
              </a:rPr>
              <a:t>K</a:t>
            </a:r>
            <a:r>
              <a:rPr lang="lv-LV" sz="1200" b="1" baseline="0">
                <a:solidFill>
                  <a:schemeClr val="tx1"/>
                </a:solidFill>
                <a:latin typeface="Times New Roman" panose="02020603050405020304" pitchFamily="18" charset="0"/>
                <a:cs typeface="Times New Roman" panose="02020603050405020304" pitchFamily="18" charset="0"/>
              </a:rPr>
              <a:t>riminālprocesa apturēšana ar prokurora piekrišanu</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13575</c:v>
                </c:pt>
                <c:pt idx="1">
                  <c:v>19089</c:v>
                </c:pt>
                <c:pt idx="2">
                  <c:v>18310</c:v>
                </c:pt>
              </c:numCache>
            </c:numRef>
          </c:val>
          <c:extLst>
            <c:ext xmlns:c16="http://schemas.microsoft.com/office/drawing/2014/chart" uri="{C3380CC4-5D6E-409C-BE32-E72D297353CC}">
              <c16:uniqueId val="{00000000-64FF-46A9-8910-4559B76CD7FE}"/>
            </c:ext>
          </c:extLst>
        </c:ser>
        <c:dLbls>
          <c:showLegendKey val="0"/>
          <c:showVal val="0"/>
          <c:showCatName val="0"/>
          <c:showSerName val="0"/>
          <c:showPercent val="0"/>
          <c:showBubbleSize val="0"/>
        </c:dLbls>
        <c:gapWidth val="219"/>
        <c:overlap val="-27"/>
        <c:axId val="583289160"/>
        <c:axId val="583294408"/>
      </c:barChart>
      <c:catAx>
        <c:axId val="583289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83294408"/>
        <c:crosses val="autoZero"/>
        <c:auto val="1"/>
        <c:lblAlgn val="ctr"/>
        <c:lblOffset val="100"/>
        <c:noMultiLvlLbl val="0"/>
      </c:catAx>
      <c:valAx>
        <c:axId val="5832944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83289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b="1" baseline="0">
                <a:solidFill>
                  <a:schemeClr val="tx1"/>
                </a:solidFill>
                <a:latin typeface="Times New Roman" panose="02020603050405020304" pitchFamily="18" charset="0"/>
                <a:cs typeface="Times New Roman" panose="02020603050405020304" pitchFamily="18" charset="0"/>
              </a:rPr>
              <a:t>Prokuratūrā saņemtie kriminālprocesi</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Kopā</c:v>
                </c:pt>
              </c:strCache>
            </c:strRef>
          </c:tx>
          <c:spPr>
            <a:solidFill>
              <a:schemeClr val="accent1"/>
            </a:solidFill>
            <a:ln>
              <a:noFill/>
            </a:ln>
            <a:effectLst/>
          </c:spPr>
          <c:invertIfNegative val="0"/>
          <c:dLbls>
            <c:dLbl>
              <c:idx val="0"/>
              <c:layout>
                <c:manualLayout>
                  <c:x val="0"/>
                  <c:y val="9.64630225080385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C2-4F0B-A2EE-DDDC89CB69AA}"/>
                </c:ext>
              </c:extLst>
            </c:dLbl>
            <c:dLbl>
              <c:idx val="1"/>
              <c:layout>
                <c:manualLayout>
                  <c:x val="2.3148148148148147E-3"/>
                  <c:y val="2.0364415862808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C2-4F0B-A2EE-DDDC89CB69A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13111</c:v>
                </c:pt>
                <c:pt idx="1">
                  <c:v>12631</c:v>
                </c:pt>
                <c:pt idx="2">
                  <c:v>12734</c:v>
                </c:pt>
              </c:numCache>
            </c:numRef>
          </c:val>
          <c:extLst>
            <c:ext xmlns:c16="http://schemas.microsoft.com/office/drawing/2014/chart" uri="{C3380CC4-5D6E-409C-BE32-E72D297353CC}">
              <c16:uniqueId val="{00000002-94C2-4F0B-A2EE-DDDC89CB69AA}"/>
            </c:ext>
          </c:extLst>
        </c:ser>
        <c:ser>
          <c:idx val="1"/>
          <c:order val="1"/>
          <c:tx>
            <c:strRef>
              <c:f>Sheet1!$C$1</c:f>
              <c:strCache>
                <c:ptCount val="1"/>
                <c:pt idx="0">
                  <c:v>No tiem saņemtie kriminālvājāšanai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Sheet1!$C$2:$C$4</c:f>
              <c:numCache>
                <c:formatCode>General</c:formatCode>
                <c:ptCount val="3"/>
                <c:pt idx="0">
                  <c:v>12064</c:v>
                </c:pt>
                <c:pt idx="1">
                  <c:v>11651</c:v>
                </c:pt>
                <c:pt idx="2">
                  <c:v>8870</c:v>
                </c:pt>
              </c:numCache>
            </c:numRef>
          </c:val>
          <c:extLst>
            <c:ext xmlns:c16="http://schemas.microsoft.com/office/drawing/2014/chart" uri="{C3380CC4-5D6E-409C-BE32-E72D297353CC}">
              <c16:uniqueId val="{00000003-94C2-4F0B-A2EE-DDDC89CB69AA}"/>
            </c:ext>
          </c:extLst>
        </c:ser>
        <c:dLbls>
          <c:showLegendKey val="0"/>
          <c:showVal val="0"/>
          <c:showCatName val="0"/>
          <c:showSerName val="0"/>
          <c:showPercent val="0"/>
          <c:showBubbleSize val="0"/>
        </c:dLbls>
        <c:gapWidth val="219"/>
        <c:overlap val="100"/>
        <c:axId val="340749512"/>
        <c:axId val="340754104"/>
      </c:barChart>
      <c:catAx>
        <c:axId val="34074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0754104"/>
        <c:crosses val="autoZero"/>
        <c:auto val="1"/>
        <c:lblAlgn val="ctr"/>
        <c:lblOffset val="100"/>
        <c:noMultiLvlLbl val="0"/>
      </c:catAx>
      <c:valAx>
        <c:axId val="3407541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0749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sz="1200" b="1" baseline="0">
                <a:solidFill>
                  <a:schemeClr val="tx1"/>
                </a:solidFill>
                <a:latin typeface="Times New Roman" panose="02020603050405020304" pitchFamily="18" charset="0"/>
                <a:cs typeface="Times New Roman" panose="02020603050405020304" pitchFamily="18" charset="0"/>
              </a:rPr>
              <a:t>Pirmstiesas kriminālprocesu pabeigšana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Kopā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11614</c:v>
                </c:pt>
                <c:pt idx="1">
                  <c:v>11290</c:v>
                </c:pt>
                <c:pt idx="2">
                  <c:v>11013</c:v>
                </c:pt>
              </c:numCache>
            </c:numRef>
          </c:val>
          <c:extLst>
            <c:ext xmlns:c16="http://schemas.microsoft.com/office/drawing/2014/chart" uri="{C3380CC4-5D6E-409C-BE32-E72D297353CC}">
              <c16:uniqueId val="{00000000-94FD-40EE-B057-68069B59C78D}"/>
            </c:ext>
          </c:extLst>
        </c:ser>
        <c:ser>
          <c:idx val="1"/>
          <c:order val="1"/>
          <c:tx>
            <c:strRef>
              <c:f>Sheet1!$C$1</c:f>
              <c:strCache>
                <c:ptCount val="1"/>
                <c:pt idx="0">
                  <c:v>No tiem nodoti tiesām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Sheet1!$C$2:$C$4</c:f>
              <c:numCache>
                <c:formatCode>General</c:formatCode>
                <c:ptCount val="3"/>
                <c:pt idx="0">
                  <c:v>8887</c:v>
                </c:pt>
                <c:pt idx="1">
                  <c:v>8593</c:v>
                </c:pt>
                <c:pt idx="2">
                  <c:v>8088</c:v>
                </c:pt>
              </c:numCache>
            </c:numRef>
          </c:val>
          <c:extLst>
            <c:ext xmlns:c16="http://schemas.microsoft.com/office/drawing/2014/chart" uri="{C3380CC4-5D6E-409C-BE32-E72D297353CC}">
              <c16:uniqueId val="{00000001-94FD-40EE-B057-68069B59C78D}"/>
            </c:ext>
          </c:extLst>
        </c:ser>
        <c:ser>
          <c:idx val="2"/>
          <c:order val="2"/>
          <c:tx>
            <c:strRef>
              <c:f>Sheet1!$D$1</c:f>
              <c:strCache>
                <c:ptCount val="1"/>
                <c:pt idx="0">
                  <c:v>No tiem pabeigti prokuratūrā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Sheet1!$D$2:$D$4</c:f>
              <c:numCache>
                <c:formatCode>General</c:formatCode>
                <c:ptCount val="3"/>
                <c:pt idx="0">
                  <c:v>2727</c:v>
                </c:pt>
                <c:pt idx="1">
                  <c:v>2697</c:v>
                </c:pt>
                <c:pt idx="2">
                  <c:v>2925</c:v>
                </c:pt>
              </c:numCache>
            </c:numRef>
          </c:val>
          <c:extLst>
            <c:ext xmlns:c16="http://schemas.microsoft.com/office/drawing/2014/chart" uri="{C3380CC4-5D6E-409C-BE32-E72D297353CC}">
              <c16:uniqueId val="{00000002-94FD-40EE-B057-68069B59C78D}"/>
            </c:ext>
          </c:extLst>
        </c:ser>
        <c:dLbls>
          <c:showLegendKey val="0"/>
          <c:showVal val="0"/>
          <c:showCatName val="0"/>
          <c:showSerName val="0"/>
          <c:showPercent val="0"/>
          <c:showBubbleSize val="0"/>
        </c:dLbls>
        <c:gapWidth val="219"/>
        <c:overlap val="100"/>
        <c:axId val="504351224"/>
        <c:axId val="504347288"/>
      </c:barChart>
      <c:catAx>
        <c:axId val="50435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04347288"/>
        <c:crosses val="autoZero"/>
        <c:auto val="1"/>
        <c:lblAlgn val="ctr"/>
        <c:lblOffset val="100"/>
        <c:noMultiLvlLbl val="0"/>
      </c:catAx>
      <c:valAx>
        <c:axId val="5043472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4351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v-LV" sz="1200" b="1" baseline="0">
                <a:solidFill>
                  <a:schemeClr val="tx1"/>
                </a:solidFill>
              </a:rPr>
              <a:t>Kriminālprocesa pabeigšanas veidi prokuratūrā</a:t>
            </a:r>
          </a:p>
          <a:p>
            <a:pPr algn="ctr">
              <a:defRPr sz="1400"/>
            </a:pPr>
            <a:r>
              <a:rPr lang="lv-LV" sz="1200" b="1" baseline="0">
                <a:solidFill>
                  <a:schemeClr val="tx1"/>
                </a:solidFill>
              </a:rPr>
              <a:t>2018. gadā</a:t>
            </a:r>
            <a:endParaRPr lang="lv-LV" sz="1200" b="1">
              <a:solidFill>
                <a:schemeClr val="tx1"/>
              </a:solidFill>
            </a:endParaRPr>
          </a:p>
        </c:rich>
      </c:tx>
      <c:layout>
        <c:manualLayout>
          <c:xMode val="edge"/>
          <c:yMode val="edge"/>
          <c:x val="0.1334041507880655"/>
          <c:y val="2.1455331150477826E-2"/>
        </c:manualLayout>
      </c:layout>
      <c:overlay val="0"/>
      <c:spPr>
        <a:noFill/>
        <a:ln>
          <a:noFill/>
        </a:ln>
        <a:effectLst/>
      </c:spPr>
      <c:txPr>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doughnutChart>
        <c:varyColors val="1"/>
        <c:ser>
          <c:idx val="0"/>
          <c:order val="0"/>
          <c:dPt>
            <c:idx val="0"/>
            <c:bubble3D val="0"/>
            <c:spPr>
              <a:solidFill>
                <a:schemeClr val="accent1"/>
              </a:solidFill>
              <a:ln w="6350" cap="flat" cmpd="sng" algn="ctr">
                <a:solidFill>
                  <a:schemeClr val="accent1">
                    <a:shade val="50000"/>
                  </a:schemeClr>
                </a:solidFill>
                <a:prstDash val="solid"/>
                <a:round/>
              </a:ln>
              <a:effectLst/>
            </c:spPr>
            <c:extLst>
              <c:ext xmlns:c16="http://schemas.microsoft.com/office/drawing/2014/chart" uri="{C3380CC4-5D6E-409C-BE32-E72D297353CC}">
                <c16:uniqueId val="{00000001-C62F-4C32-A114-6C17BDBB65E0}"/>
              </c:ext>
            </c:extLst>
          </c:dPt>
          <c:dPt>
            <c:idx val="1"/>
            <c:bubble3D val="0"/>
            <c:spPr>
              <a:solidFill>
                <a:schemeClr val="accent2"/>
              </a:solidFill>
              <a:ln w="6350" cap="flat" cmpd="sng" algn="ctr">
                <a:solidFill>
                  <a:schemeClr val="accent2">
                    <a:shade val="50000"/>
                  </a:schemeClr>
                </a:solidFill>
                <a:prstDash val="solid"/>
                <a:round/>
              </a:ln>
              <a:effectLst/>
            </c:spPr>
            <c:extLst>
              <c:ext xmlns:c16="http://schemas.microsoft.com/office/drawing/2014/chart" uri="{C3380CC4-5D6E-409C-BE32-E72D297353CC}">
                <c16:uniqueId val="{00000003-C62F-4C32-A114-6C17BDBB65E0}"/>
              </c:ext>
            </c:extLst>
          </c:dPt>
          <c:dPt>
            <c:idx val="2"/>
            <c:bubble3D val="0"/>
            <c:spPr>
              <a:solidFill>
                <a:schemeClr val="accent3"/>
              </a:solidFill>
              <a:ln w="6350" cap="flat" cmpd="sng" algn="ctr">
                <a:solidFill>
                  <a:schemeClr val="accent3">
                    <a:shade val="50000"/>
                  </a:schemeClr>
                </a:solidFill>
                <a:prstDash val="solid"/>
                <a:round/>
              </a:ln>
              <a:effectLst/>
            </c:spPr>
            <c:extLst>
              <c:ext xmlns:c16="http://schemas.microsoft.com/office/drawing/2014/chart" uri="{C3380CC4-5D6E-409C-BE32-E72D297353CC}">
                <c16:uniqueId val="{00000005-C62F-4C32-A114-6C17BDBB65E0}"/>
              </c:ext>
            </c:extLst>
          </c:dPt>
          <c:dPt>
            <c:idx val="3"/>
            <c:bubble3D val="0"/>
            <c:spPr>
              <a:solidFill>
                <a:schemeClr val="accent4"/>
              </a:solidFill>
              <a:ln w="6350" cap="flat" cmpd="sng" algn="ctr">
                <a:solidFill>
                  <a:schemeClr val="accent4">
                    <a:shade val="50000"/>
                  </a:schemeClr>
                </a:solidFill>
                <a:prstDash val="solid"/>
                <a:round/>
              </a:ln>
              <a:effectLst/>
            </c:spPr>
            <c:extLst>
              <c:ext xmlns:c16="http://schemas.microsoft.com/office/drawing/2014/chart" uri="{C3380CC4-5D6E-409C-BE32-E72D297353CC}">
                <c16:uniqueId val="{00000007-C62F-4C32-A114-6C17BDBB65E0}"/>
              </c:ext>
            </c:extLst>
          </c:dPt>
          <c:dPt>
            <c:idx val="4"/>
            <c:bubble3D val="0"/>
            <c:spPr>
              <a:solidFill>
                <a:schemeClr val="accent5"/>
              </a:solidFill>
              <a:ln w="6350" cap="flat" cmpd="sng" algn="ctr">
                <a:solidFill>
                  <a:schemeClr val="accent5">
                    <a:shade val="50000"/>
                  </a:schemeClr>
                </a:solidFill>
                <a:prstDash val="solid"/>
                <a:round/>
              </a:ln>
              <a:effectLst/>
            </c:spPr>
            <c:extLst>
              <c:ext xmlns:c16="http://schemas.microsoft.com/office/drawing/2014/chart" uri="{C3380CC4-5D6E-409C-BE32-E72D297353CC}">
                <c16:uniqueId val="{00000009-C62F-4C32-A114-6C17BDBB65E0}"/>
              </c:ext>
            </c:extLst>
          </c:dPt>
          <c:dLbls>
            <c:dLbl>
              <c:idx val="2"/>
              <c:layout>
                <c:manualLayout>
                  <c:x val="0"/>
                  <c:y val="-9.84251968503930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2F-4C32-A114-6C17BDBB65E0}"/>
                </c:ext>
              </c:extLst>
            </c:dLbl>
            <c:dLbl>
              <c:idx val="3"/>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5496815286624205"/>
                      <c:h val="0.18831877729257643"/>
                    </c:manualLayout>
                  </c15:layout>
                </c:ext>
                <c:ext xmlns:c16="http://schemas.microsoft.com/office/drawing/2014/chart" uri="{C3380CC4-5D6E-409C-BE32-E72D297353CC}">
                  <c16:uniqueId val="{00000007-C62F-4C32-A114-6C17BDBB65E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6350" cap="flat" cmpd="sng" algn="ctr">
                  <a:solidFill>
                    <a:schemeClr val="dk1"/>
                  </a:solidFill>
                  <a:prstDash val="solid"/>
                  <a:round/>
                </a:ln>
                <a:effectLst/>
              </c:spPr>
            </c:leaderLines>
            <c:extLst>
              <c:ext xmlns:c15="http://schemas.microsoft.com/office/drawing/2012/chart" uri="{CE6537A1-D6FC-4f65-9D91-7224C49458BB}"/>
            </c:extLst>
          </c:dLbls>
          <c:cat>
            <c:strRef>
              <c:f>I_tiesas_apgabala_prok!$AR$6:$AR$10</c:f>
              <c:strCache>
                <c:ptCount val="5"/>
                <c:pt idx="0">
                  <c:v>Priekšraksti par sodu</c:v>
                </c:pt>
                <c:pt idx="1">
                  <c:v>Nosacīti atbrīvojot no kriminālatbildības</c:v>
                </c:pt>
                <c:pt idx="2">
                  <c:v>KPL 379.panta 1., 2.daļa</c:v>
                </c:pt>
                <c:pt idx="3">
                  <c:v>Izlīgumi (KPL 377.panta 9.punkts)</c:v>
                </c:pt>
                <c:pt idx="4">
                  <c:v>Citi</c:v>
                </c:pt>
              </c:strCache>
            </c:strRef>
          </c:cat>
          <c:val>
            <c:numRef>
              <c:f>I_tiesas_apgabala_prok!$AS$6:$AS$10</c:f>
              <c:numCache>
                <c:formatCode>General</c:formatCode>
                <c:ptCount val="5"/>
                <c:pt idx="0">
                  <c:v>1592</c:v>
                </c:pt>
                <c:pt idx="1">
                  <c:v>427</c:v>
                </c:pt>
                <c:pt idx="2">
                  <c:v>312</c:v>
                </c:pt>
                <c:pt idx="3">
                  <c:v>201</c:v>
                </c:pt>
                <c:pt idx="4">
                  <c:v>195</c:v>
                </c:pt>
              </c:numCache>
            </c:numRef>
          </c:val>
          <c:extLst>
            <c:ext xmlns:c16="http://schemas.microsoft.com/office/drawing/2014/chart" uri="{C3380CC4-5D6E-409C-BE32-E72D297353CC}">
              <c16:uniqueId val="{0000000A-C62F-4C32-A114-6C17BDBB65E0}"/>
            </c:ext>
          </c:extLst>
        </c:ser>
        <c:dLbls>
          <c:showLegendKey val="0"/>
          <c:showVal val="0"/>
          <c:showCatName val="0"/>
          <c:showSerName val="0"/>
          <c:showPercent val="1"/>
          <c:showBubbleSize val="0"/>
          <c:showLeaderLines val="1"/>
        </c:dLbls>
        <c:firstSliceAng val="0"/>
        <c:holeSize val="52"/>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6350" cap="flat" cmpd="sng" algn="ctr">
      <a:solidFill>
        <a:schemeClr val="dk1">
          <a:tint val="75000"/>
        </a:schemeClr>
      </a:solidFill>
      <a:prstDash val="solid"/>
      <a:round/>
    </a:ln>
    <a:effectLst/>
  </c:spPr>
  <c:txPr>
    <a:bodyPr/>
    <a:lstStyle/>
    <a:p>
      <a:pPr>
        <a:defRPr>
          <a:solidFill>
            <a:schemeClr val="tx2"/>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v-LV" sz="1200" b="1" baseline="0">
                <a:solidFill>
                  <a:schemeClr val="tx1"/>
                </a:solidFill>
              </a:rPr>
              <a:t>Kriminālprocesa pabeigšanas veidi prokuratūrā</a:t>
            </a:r>
          </a:p>
          <a:p>
            <a:pPr algn="ctr">
              <a:defRPr sz="1400"/>
            </a:pPr>
            <a:r>
              <a:rPr lang="lv-LV" sz="1200" b="1" baseline="0">
                <a:solidFill>
                  <a:schemeClr val="tx1"/>
                </a:solidFill>
              </a:rPr>
              <a:t>2019. gadā</a:t>
            </a:r>
            <a:endParaRPr lang="lv-LV" sz="1200" b="1">
              <a:solidFill>
                <a:schemeClr val="tx1"/>
              </a:solidFill>
            </a:endParaRPr>
          </a:p>
        </c:rich>
      </c:tx>
      <c:layout>
        <c:manualLayout>
          <c:xMode val="edge"/>
          <c:yMode val="edge"/>
          <c:x val="0.13080982104930547"/>
          <c:y val="2.145539066690506E-2"/>
        </c:manualLayout>
      </c:layout>
      <c:overlay val="0"/>
      <c:spPr>
        <a:noFill/>
        <a:ln>
          <a:noFill/>
        </a:ln>
        <a:effectLst/>
      </c:spPr>
      <c:txPr>
        <a:bodyPr rot="0" spcFirstLastPara="1" vertOverflow="ellipsis" vert="horz" wrap="square" anchor="ctr" anchorCtr="1"/>
        <a:lstStyle/>
        <a:p>
          <a:pPr algn="ct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doughnutChart>
        <c:varyColors val="1"/>
        <c:ser>
          <c:idx val="0"/>
          <c:order val="0"/>
          <c:dPt>
            <c:idx val="0"/>
            <c:bubble3D val="0"/>
            <c:spPr>
              <a:solidFill>
                <a:schemeClr val="accent1"/>
              </a:solidFill>
              <a:ln w="6350" cap="flat" cmpd="sng" algn="ctr">
                <a:solidFill>
                  <a:schemeClr val="accent1">
                    <a:shade val="50000"/>
                  </a:schemeClr>
                </a:solidFill>
                <a:prstDash val="solid"/>
                <a:round/>
              </a:ln>
              <a:effectLst/>
            </c:spPr>
            <c:extLst>
              <c:ext xmlns:c16="http://schemas.microsoft.com/office/drawing/2014/chart" uri="{C3380CC4-5D6E-409C-BE32-E72D297353CC}">
                <c16:uniqueId val="{00000001-9472-46BC-9841-9D00467FB993}"/>
              </c:ext>
            </c:extLst>
          </c:dPt>
          <c:dPt>
            <c:idx val="1"/>
            <c:bubble3D val="0"/>
            <c:spPr>
              <a:solidFill>
                <a:schemeClr val="accent2"/>
              </a:solidFill>
              <a:ln w="6350" cap="flat" cmpd="sng" algn="ctr">
                <a:solidFill>
                  <a:schemeClr val="accent2">
                    <a:shade val="50000"/>
                  </a:schemeClr>
                </a:solidFill>
                <a:prstDash val="solid"/>
                <a:round/>
              </a:ln>
              <a:effectLst/>
            </c:spPr>
            <c:extLst>
              <c:ext xmlns:c16="http://schemas.microsoft.com/office/drawing/2014/chart" uri="{C3380CC4-5D6E-409C-BE32-E72D297353CC}">
                <c16:uniqueId val="{00000003-9472-46BC-9841-9D00467FB993}"/>
              </c:ext>
            </c:extLst>
          </c:dPt>
          <c:dPt>
            <c:idx val="2"/>
            <c:bubble3D val="0"/>
            <c:spPr>
              <a:solidFill>
                <a:schemeClr val="accent3"/>
              </a:solidFill>
              <a:ln w="6350" cap="flat" cmpd="sng" algn="ctr">
                <a:solidFill>
                  <a:schemeClr val="accent3">
                    <a:shade val="50000"/>
                  </a:schemeClr>
                </a:solidFill>
                <a:prstDash val="solid"/>
                <a:round/>
              </a:ln>
              <a:effectLst/>
            </c:spPr>
            <c:extLst>
              <c:ext xmlns:c16="http://schemas.microsoft.com/office/drawing/2014/chart" uri="{C3380CC4-5D6E-409C-BE32-E72D297353CC}">
                <c16:uniqueId val="{00000005-9472-46BC-9841-9D00467FB993}"/>
              </c:ext>
            </c:extLst>
          </c:dPt>
          <c:dPt>
            <c:idx val="3"/>
            <c:bubble3D val="0"/>
            <c:spPr>
              <a:solidFill>
                <a:schemeClr val="accent4"/>
              </a:solidFill>
              <a:ln w="6350" cap="flat" cmpd="sng" algn="ctr">
                <a:solidFill>
                  <a:schemeClr val="accent4">
                    <a:shade val="50000"/>
                  </a:schemeClr>
                </a:solidFill>
                <a:prstDash val="solid"/>
                <a:round/>
              </a:ln>
              <a:effectLst/>
            </c:spPr>
            <c:extLst>
              <c:ext xmlns:c16="http://schemas.microsoft.com/office/drawing/2014/chart" uri="{C3380CC4-5D6E-409C-BE32-E72D297353CC}">
                <c16:uniqueId val="{00000007-9472-46BC-9841-9D00467FB993}"/>
              </c:ext>
            </c:extLst>
          </c:dPt>
          <c:dPt>
            <c:idx val="4"/>
            <c:bubble3D val="0"/>
            <c:spPr>
              <a:solidFill>
                <a:schemeClr val="accent5"/>
              </a:solidFill>
              <a:ln w="6350" cap="flat" cmpd="sng" algn="ctr">
                <a:solidFill>
                  <a:schemeClr val="accent5">
                    <a:shade val="50000"/>
                  </a:schemeClr>
                </a:solidFill>
                <a:prstDash val="solid"/>
                <a:round/>
              </a:ln>
              <a:effectLst/>
            </c:spPr>
            <c:extLst>
              <c:ext xmlns:c16="http://schemas.microsoft.com/office/drawing/2014/chart" uri="{C3380CC4-5D6E-409C-BE32-E72D297353CC}">
                <c16:uniqueId val="{00000009-9472-46BC-9841-9D00467FB993}"/>
              </c:ext>
            </c:extLst>
          </c:dPt>
          <c:dPt>
            <c:idx val="5"/>
            <c:bubble3D val="0"/>
            <c:spPr>
              <a:solidFill>
                <a:schemeClr val="accent6"/>
              </a:solidFill>
              <a:ln w="6350" cap="flat" cmpd="sng" algn="ctr">
                <a:solidFill>
                  <a:schemeClr val="accent6">
                    <a:shade val="50000"/>
                  </a:schemeClr>
                </a:solidFill>
                <a:prstDash val="solid"/>
                <a:round/>
              </a:ln>
              <a:effectLst/>
            </c:spPr>
            <c:extLst>
              <c:ext xmlns:c16="http://schemas.microsoft.com/office/drawing/2014/chart" uri="{C3380CC4-5D6E-409C-BE32-E72D297353CC}">
                <c16:uniqueId val="{0000000B-9472-46BC-9841-9D00467FB993}"/>
              </c:ext>
            </c:extLst>
          </c:dPt>
          <c:dLbls>
            <c:dLbl>
              <c:idx val="2"/>
              <c:layout>
                <c:manualLayout>
                  <c:x val="0"/>
                  <c:y val="-9.84251968503930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72-46BC-9841-9D00467FB99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6350" cap="flat" cmpd="sng" algn="ctr">
                  <a:solidFill>
                    <a:schemeClr val="dk1"/>
                  </a:solidFill>
                  <a:prstDash val="solid"/>
                  <a:round/>
                </a:ln>
                <a:effectLst/>
              </c:spPr>
            </c:leaderLines>
            <c:extLst>
              <c:ext xmlns:c15="http://schemas.microsoft.com/office/drawing/2012/chart" uri="{CE6537A1-D6FC-4f65-9D91-7224C49458BB}"/>
            </c:extLst>
          </c:dLbls>
          <c:cat>
            <c:strRef>
              <c:f>I_tiesas_apgabala_prok!$AR$6:$AR$11</c:f>
              <c:strCache>
                <c:ptCount val="5"/>
                <c:pt idx="0">
                  <c:v>Priekšraksti par sodu</c:v>
                </c:pt>
                <c:pt idx="1">
                  <c:v>Nosacīti atbrīvojot no kriminālatbildības</c:v>
                </c:pt>
                <c:pt idx="2">
                  <c:v>KPL 379.panta 1., 2.daļa</c:v>
                </c:pt>
                <c:pt idx="3">
                  <c:v>Izlīgumi (377.panta 9.punkts)</c:v>
                </c:pt>
                <c:pt idx="4">
                  <c:v>Citi</c:v>
                </c:pt>
              </c:strCache>
            </c:strRef>
          </c:cat>
          <c:val>
            <c:numRef>
              <c:f>I_tiesas_apgabala_prok!$AS$6:$AS$11</c:f>
              <c:numCache>
                <c:formatCode>General</c:formatCode>
                <c:ptCount val="6"/>
                <c:pt idx="0">
                  <c:v>1674</c:v>
                </c:pt>
                <c:pt idx="1">
                  <c:v>433</c:v>
                </c:pt>
                <c:pt idx="2">
                  <c:v>235</c:v>
                </c:pt>
                <c:pt idx="3">
                  <c:v>200</c:v>
                </c:pt>
                <c:pt idx="4">
                  <c:v>155</c:v>
                </c:pt>
              </c:numCache>
            </c:numRef>
          </c:val>
          <c:extLst>
            <c:ext xmlns:c16="http://schemas.microsoft.com/office/drawing/2014/chart" uri="{C3380CC4-5D6E-409C-BE32-E72D297353CC}">
              <c16:uniqueId val="{0000000C-9472-46BC-9841-9D00467FB993}"/>
            </c:ext>
          </c:extLst>
        </c:ser>
        <c:dLbls>
          <c:showLegendKey val="0"/>
          <c:showVal val="0"/>
          <c:showCatName val="0"/>
          <c:showSerName val="0"/>
          <c:showPercent val="1"/>
          <c:showBubbleSize val="0"/>
          <c:showLeaderLines val="1"/>
        </c:dLbls>
        <c:firstSliceAng val="0"/>
        <c:holeSize val="52"/>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6350" cap="flat" cmpd="sng" algn="ctr">
      <a:solidFill>
        <a:schemeClr val="dk1">
          <a:tint val="75000"/>
        </a:schemeClr>
      </a:solidFill>
      <a:prstDash val="solid"/>
      <a:round/>
    </a:ln>
    <a:effectLst/>
  </c:spPr>
  <c:txPr>
    <a:bodyPr/>
    <a:lstStyle/>
    <a:p>
      <a:pPr>
        <a:defRPr>
          <a:solidFill>
            <a:schemeClr val="tx2"/>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134">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cs:styleClr val="auto">
        <a:shade val="50000"/>
      </cs:styleClr>
    </cs:lnRef>
    <cs:fillRef idx="1">
      <cs:styleClr val="auto"/>
    </cs:fillRef>
    <cs:effectRef idx="0"/>
    <cs:fontRef idx="minor">
      <a:schemeClr val="dk1"/>
    </cs:fontRef>
    <cs:spPr>
      <a:ln>
        <a:round/>
      </a:ln>
    </cs:spPr>
  </cs:dataPoint>
  <cs:dataPoint3D>
    <cs:lnRef idx="1">
      <cs:styleClr val="auto">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a:schemeClr val="dk1"/>
    </cs:lnRef>
    <cs:fillRef idx="1">
      <a:schemeClr val="dk1">
        <a:tint val="95000"/>
      </a:schem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a:schemeClr val="dk1">
        <a:tint val="20000"/>
      </a:schem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a:schemeClr val="dk1">
        <a:tint val="20000"/>
      </a:schem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a:schemeClr val="dk1"/>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a:schemeClr val="dk1">
        <a:tint val="20000"/>
      </a:schemeClr>
    </cs:fillRef>
    <cs:effectRef idx="0"/>
    <cs:fontRef idx="minor">
      <a:schemeClr val="dk1"/>
    </cs:fontRef>
  </cs:wall>
</cs:chartStyle>
</file>

<file path=word/charts/style11.xml><?xml version="1.0" encoding="utf-8"?>
<cs:chartStyle xmlns:cs="http://schemas.microsoft.com/office/drawing/2012/chartStyle" xmlns:a="http://schemas.openxmlformats.org/drawingml/2006/main" id="134">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cs:styleClr val="auto">
        <a:shade val="50000"/>
      </cs:styleClr>
    </cs:lnRef>
    <cs:fillRef idx="1">
      <cs:styleClr val="auto"/>
    </cs:fillRef>
    <cs:effectRef idx="0"/>
    <cs:fontRef idx="minor">
      <a:schemeClr val="dk1"/>
    </cs:fontRef>
    <cs:spPr>
      <a:ln>
        <a:round/>
      </a:ln>
    </cs:spPr>
  </cs:dataPoint>
  <cs:dataPoint3D>
    <cs:lnRef idx="1">
      <cs:styleClr val="auto">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a:schemeClr val="dk1"/>
    </cs:lnRef>
    <cs:fillRef idx="1">
      <a:schemeClr val="dk1">
        <a:tint val="95000"/>
      </a:schem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a:schemeClr val="dk1">
        <a:tint val="20000"/>
      </a:schem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a:schemeClr val="dk1">
        <a:tint val="20000"/>
      </a:schem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a:schemeClr val="dk1"/>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a:schemeClr val="dk1">
        <a:tint val="20000"/>
      </a:schemeClr>
    </cs:fillRef>
    <cs:effectRef idx="0"/>
    <cs:fontRef idx="minor">
      <a:schemeClr val="dk1"/>
    </cs:fontRef>
  </cs:wall>
</cs:chartStyle>
</file>

<file path=word/charts/style12.xml><?xml version="1.0" encoding="utf-8"?>
<cs:chartStyle xmlns:cs="http://schemas.microsoft.com/office/drawing/2012/chartStyle" xmlns:a="http://schemas.openxmlformats.org/drawingml/2006/main" id="134">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cs:styleClr val="auto">
        <a:shade val="50000"/>
      </cs:styleClr>
    </cs:lnRef>
    <cs:fillRef idx="1">
      <cs:styleClr val="auto"/>
    </cs:fillRef>
    <cs:effectRef idx="0"/>
    <cs:fontRef idx="minor">
      <a:schemeClr val="dk1"/>
    </cs:fontRef>
    <cs:spPr>
      <a:ln>
        <a:round/>
      </a:ln>
    </cs:spPr>
  </cs:dataPoint>
  <cs:dataPoint3D>
    <cs:lnRef idx="1">
      <cs:styleClr val="auto">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a:schemeClr val="dk1"/>
    </cs:lnRef>
    <cs:fillRef idx="1">
      <a:schemeClr val="dk1">
        <a:tint val="95000"/>
      </a:schem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a:schemeClr val="dk1">
        <a:tint val="20000"/>
      </a:schem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a:schemeClr val="dk1">
        <a:tint val="20000"/>
      </a:schem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a:schemeClr val="dk1"/>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a:schemeClr val="dk1">
        <a:tint val="20000"/>
      </a:schemeClr>
    </cs:fillRef>
    <cs:effectRef idx="0"/>
    <cs:fontRef idx="minor">
      <a:schemeClr val="dk1"/>
    </cs:fontRef>
  </cs:wall>
</cs:chartStyle>
</file>

<file path=word/charts/style13.xml><?xml version="1.0" encoding="utf-8"?>
<cs:chartStyle xmlns:cs="http://schemas.microsoft.com/office/drawing/2012/chartStyle" xmlns:a="http://schemas.openxmlformats.org/drawingml/2006/main" id="134">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cs:styleClr val="auto">
        <a:shade val="50000"/>
      </cs:styleClr>
    </cs:lnRef>
    <cs:fillRef idx="1">
      <cs:styleClr val="auto"/>
    </cs:fillRef>
    <cs:effectRef idx="0"/>
    <cs:fontRef idx="minor">
      <a:schemeClr val="dk1"/>
    </cs:fontRef>
    <cs:spPr>
      <a:ln>
        <a:round/>
      </a:ln>
    </cs:spPr>
  </cs:dataPoint>
  <cs:dataPoint3D>
    <cs:lnRef idx="1">
      <cs:styleClr val="auto">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a:schemeClr val="dk1"/>
    </cs:lnRef>
    <cs:fillRef idx="1">
      <a:schemeClr val="dk1">
        <a:tint val="95000"/>
      </a:schem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a:schemeClr val="dk1">
        <a:tint val="20000"/>
      </a:schem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a:schemeClr val="dk1">
        <a:tint val="20000"/>
      </a:schem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a:schemeClr val="dk1"/>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a:schemeClr val="dk1">
        <a:tint val="20000"/>
      </a:schemeClr>
    </cs:fillRef>
    <cs:effectRef idx="0"/>
    <cs:fontRef idx="minor">
      <a:schemeClr val="dk1"/>
    </cs:fontRef>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134">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cs:styleClr val="auto">
        <a:shade val="50000"/>
      </cs:styleClr>
    </cs:lnRef>
    <cs:fillRef idx="1">
      <cs:styleClr val="auto"/>
    </cs:fillRef>
    <cs:effectRef idx="0"/>
    <cs:fontRef idx="minor">
      <a:schemeClr val="dk1"/>
    </cs:fontRef>
    <cs:spPr>
      <a:ln>
        <a:round/>
      </a:ln>
    </cs:spPr>
  </cs:dataPoint>
  <cs:dataPoint3D>
    <cs:lnRef idx="1">
      <cs:styleClr val="auto">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a:schemeClr val="dk1"/>
    </cs:lnRef>
    <cs:fillRef idx="1">
      <a:schemeClr val="dk1">
        <a:tint val="95000"/>
      </a:schem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a:schemeClr val="dk1">
        <a:tint val="20000"/>
      </a:schem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a:schemeClr val="dk1">
        <a:tint val="20000"/>
      </a:schem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a:schemeClr val="dk1"/>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a:schemeClr val="dk1">
        <a:tint val="20000"/>
      </a:schemeClr>
    </cs:fillRef>
    <cs:effectRef idx="0"/>
    <cs:fontRef idx="minor">
      <a:schemeClr val="dk1"/>
    </cs:fontRef>
  </cs:wall>
</cs:chartStyle>
</file>

<file path=word/charts/style9.xml><?xml version="1.0" encoding="utf-8"?>
<cs:chartStyle xmlns:cs="http://schemas.microsoft.com/office/drawing/2012/chartStyle" xmlns:a="http://schemas.openxmlformats.org/drawingml/2006/main" id="134">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cs:styleClr val="auto">
        <a:shade val="50000"/>
      </cs:styleClr>
    </cs:lnRef>
    <cs:fillRef idx="1">
      <cs:styleClr val="auto"/>
    </cs:fillRef>
    <cs:effectRef idx="0"/>
    <cs:fontRef idx="minor">
      <a:schemeClr val="dk1"/>
    </cs:fontRef>
    <cs:spPr>
      <a:ln>
        <a:round/>
      </a:ln>
    </cs:spPr>
  </cs:dataPoint>
  <cs:dataPoint3D>
    <cs:lnRef idx="1">
      <cs:styleClr val="auto">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a:schemeClr val="dk1"/>
    </cs:lnRef>
    <cs:fillRef idx="1">
      <a:schemeClr val="dk1">
        <a:tint val="95000"/>
      </a:schem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a:schemeClr val="dk1">
        <a:tint val="20000"/>
      </a:schem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a:schemeClr val="dk1">
        <a:tint val="20000"/>
      </a:schem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a:schemeClr val="dk1"/>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a:schemeClr val="dk1">
        <a:tint val="20000"/>
      </a:schemeClr>
    </cs:fillRef>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0.44374</cdr:x>
      <cdr:y>0.53682</cdr:y>
    </cdr:from>
    <cdr:to>
      <cdr:x>0.55151</cdr:x>
      <cdr:y>0.67458</cdr:y>
    </cdr:to>
    <cdr:sp macro="" textlink="">
      <cdr:nvSpPr>
        <cdr:cNvPr id="2" name="TextBox 1"/>
        <cdr:cNvSpPr txBox="1"/>
      </cdr:nvSpPr>
      <cdr:spPr>
        <a:xfrm xmlns:a="http://schemas.openxmlformats.org/drawingml/2006/main">
          <a:off x="2667001" y="2152651"/>
          <a:ext cx="64770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0.25125</cdr:x>
      <cdr:y>0.53169</cdr:y>
    </cdr:from>
    <cdr:to>
      <cdr:x>0.44041</cdr:x>
      <cdr:y>0.69946</cdr:y>
    </cdr:to>
    <cdr:sp macro="" textlink="">
      <cdr:nvSpPr>
        <cdr:cNvPr id="3" name="Text Box 2"/>
        <cdr:cNvSpPr txBox="1"/>
      </cdr:nvSpPr>
      <cdr:spPr>
        <a:xfrm xmlns:a="http://schemas.openxmlformats.org/drawingml/2006/main">
          <a:off x="1205346" y="1163782"/>
          <a:ext cx="907473" cy="367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b="1"/>
            <a:t>    </a:t>
          </a:r>
          <a:r>
            <a:rPr lang="lv-LV" sz="1200" b="1" baseline="0">
              <a:solidFill>
                <a:schemeClr val="tx1"/>
              </a:solidFill>
              <a:latin typeface="Times New Roman" panose="02020603050405020304" pitchFamily="18" charset="0"/>
            </a:rPr>
            <a:t>2727</a:t>
          </a:r>
        </a:p>
      </cdr:txBody>
    </cdr:sp>
  </cdr:relSizeAnchor>
</c:userShapes>
</file>

<file path=word/drawings/drawing2.xml><?xml version="1.0" encoding="utf-8"?>
<c:userShapes xmlns:c="http://schemas.openxmlformats.org/drawingml/2006/chart">
  <cdr:relSizeAnchor xmlns:cdr="http://schemas.openxmlformats.org/drawingml/2006/chartDrawing">
    <cdr:from>
      <cdr:x>0.44374</cdr:x>
      <cdr:y>0.53682</cdr:y>
    </cdr:from>
    <cdr:to>
      <cdr:x>0.55151</cdr:x>
      <cdr:y>0.67458</cdr:y>
    </cdr:to>
    <cdr:sp macro="" textlink="">
      <cdr:nvSpPr>
        <cdr:cNvPr id="2" name="TextBox 1"/>
        <cdr:cNvSpPr txBox="1"/>
      </cdr:nvSpPr>
      <cdr:spPr>
        <a:xfrm xmlns:a="http://schemas.openxmlformats.org/drawingml/2006/main">
          <a:off x="2667001" y="2152651"/>
          <a:ext cx="64770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0.25173</cdr:x>
      <cdr:y>0.53722</cdr:y>
    </cdr:from>
    <cdr:to>
      <cdr:x>0.43859</cdr:x>
      <cdr:y>0.71197</cdr:y>
    </cdr:to>
    <cdr:sp macro="" textlink="">
      <cdr:nvSpPr>
        <cdr:cNvPr id="3" name="Text Box 2"/>
        <cdr:cNvSpPr txBox="1"/>
      </cdr:nvSpPr>
      <cdr:spPr>
        <a:xfrm xmlns:a="http://schemas.openxmlformats.org/drawingml/2006/main">
          <a:off x="1212273" y="1196018"/>
          <a:ext cx="899906" cy="3890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b="1"/>
            <a:t>    </a:t>
          </a:r>
          <a:r>
            <a:rPr lang="lv-LV" sz="1200" b="1" baseline="0">
              <a:solidFill>
                <a:schemeClr val="tx1"/>
              </a:solidFill>
              <a:latin typeface="Times New Roman" panose="02020603050405020304" pitchFamily="18" charset="0"/>
            </a:rPr>
            <a:t>2697</a:t>
          </a:r>
        </a:p>
      </cdr:txBody>
    </cdr:sp>
  </cdr:relSizeAnchor>
</c:userShapes>
</file>

<file path=word/drawings/drawing3.xml><?xml version="1.0" encoding="utf-8"?>
<c:userShapes xmlns:c="http://schemas.openxmlformats.org/drawingml/2006/chart">
  <cdr:relSizeAnchor xmlns:cdr="http://schemas.openxmlformats.org/drawingml/2006/chartDrawing">
    <cdr:from>
      <cdr:x>0.44374</cdr:x>
      <cdr:y>0.53682</cdr:y>
    </cdr:from>
    <cdr:to>
      <cdr:x>0.55151</cdr:x>
      <cdr:y>0.67458</cdr:y>
    </cdr:to>
    <cdr:sp macro="" textlink="">
      <cdr:nvSpPr>
        <cdr:cNvPr id="2" name="TextBox 1"/>
        <cdr:cNvSpPr txBox="1"/>
      </cdr:nvSpPr>
      <cdr:spPr>
        <a:xfrm xmlns:a="http://schemas.openxmlformats.org/drawingml/2006/main">
          <a:off x="2667001" y="2152651"/>
          <a:ext cx="64770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0.236</cdr:x>
      <cdr:y>0.52704</cdr:y>
    </cdr:from>
    <cdr:to>
      <cdr:x>0.42669</cdr:x>
      <cdr:y>0.6804</cdr:y>
    </cdr:to>
    <cdr:sp macro="" textlink="">
      <cdr:nvSpPr>
        <cdr:cNvPr id="3" name="Text Box 2"/>
        <cdr:cNvSpPr txBox="1"/>
      </cdr:nvSpPr>
      <cdr:spPr>
        <a:xfrm xmlns:a="http://schemas.openxmlformats.org/drawingml/2006/main">
          <a:off x="1136073" y="1149927"/>
          <a:ext cx="917985" cy="3346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b="1"/>
            <a:t>      </a:t>
          </a:r>
          <a:r>
            <a:rPr lang="lv-LV" sz="1100" b="1" baseline="0">
              <a:solidFill>
                <a:schemeClr val="tx1"/>
              </a:solidFill>
              <a:latin typeface="Times New Roman" panose="02020603050405020304" pitchFamily="18" charset="0"/>
            </a:rPr>
            <a:t>2925</a:t>
          </a:r>
        </a:p>
      </cdr:txBody>
    </cdr:sp>
  </cdr:relSizeAnchor>
</c:userShapes>
</file>

<file path=word/drawings/drawing4.xml><?xml version="1.0" encoding="utf-8"?>
<c:userShapes xmlns:c="http://schemas.openxmlformats.org/drawingml/2006/chart">
  <cdr:relSizeAnchor xmlns:cdr="http://schemas.openxmlformats.org/drawingml/2006/chartDrawing">
    <cdr:from>
      <cdr:x>0.44374</cdr:x>
      <cdr:y>0.53682</cdr:y>
    </cdr:from>
    <cdr:to>
      <cdr:x>0.55151</cdr:x>
      <cdr:y>0.67458</cdr:y>
    </cdr:to>
    <cdr:sp macro="" textlink="">
      <cdr:nvSpPr>
        <cdr:cNvPr id="2" name="TextBox 1"/>
        <cdr:cNvSpPr txBox="1"/>
      </cdr:nvSpPr>
      <cdr:spPr>
        <a:xfrm xmlns:a="http://schemas.openxmlformats.org/drawingml/2006/main">
          <a:off x="2667001" y="2152651"/>
          <a:ext cx="64770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0.27947</cdr:x>
      <cdr:y>0.52606</cdr:y>
    </cdr:from>
    <cdr:to>
      <cdr:x>0.46688</cdr:x>
      <cdr:y>0.67942</cdr:y>
    </cdr:to>
    <cdr:sp macro="" textlink="">
      <cdr:nvSpPr>
        <cdr:cNvPr id="3" name="Text Box 2"/>
        <cdr:cNvSpPr txBox="1"/>
      </cdr:nvSpPr>
      <cdr:spPr>
        <a:xfrm xmlns:a="http://schemas.openxmlformats.org/drawingml/2006/main">
          <a:off x="1339850" y="1377950"/>
          <a:ext cx="898489" cy="4017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b="1"/>
            <a:t>    </a:t>
          </a:r>
          <a:r>
            <a:rPr lang="lv-LV" sz="1100" b="1" baseline="0">
              <a:solidFill>
                <a:schemeClr val="tx1"/>
              </a:solidFill>
              <a:latin typeface="Times New Roman" panose="02020603050405020304" pitchFamily="18" charset="0"/>
            </a:rPr>
            <a:t>8887</a:t>
          </a:r>
        </a:p>
      </cdr:txBody>
    </cdr:sp>
  </cdr:relSizeAnchor>
</c:userShapes>
</file>

<file path=word/drawings/drawing5.xml><?xml version="1.0" encoding="utf-8"?>
<c:userShapes xmlns:c="http://schemas.openxmlformats.org/drawingml/2006/chart">
  <cdr:relSizeAnchor xmlns:cdr="http://schemas.openxmlformats.org/drawingml/2006/chartDrawing">
    <cdr:from>
      <cdr:x>0.44374</cdr:x>
      <cdr:y>0.53682</cdr:y>
    </cdr:from>
    <cdr:to>
      <cdr:x>0.55151</cdr:x>
      <cdr:y>0.67458</cdr:y>
    </cdr:to>
    <cdr:sp macro="" textlink="">
      <cdr:nvSpPr>
        <cdr:cNvPr id="2" name="TextBox 1"/>
        <cdr:cNvSpPr txBox="1"/>
      </cdr:nvSpPr>
      <cdr:spPr>
        <a:xfrm xmlns:a="http://schemas.openxmlformats.org/drawingml/2006/main">
          <a:off x="2667001" y="2152651"/>
          <a:ext cx="64770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0.26957</cdr:x>
      <cdr:y>0.52936</cdr:y>
    </cdr:from>
    <cdr:to>
      <cdr:x>0.46688</cdr:x>
      <cdr:y>0.67942</cdr:y>
    </cdr:to>
    <cdr:sp macro="" textlink="">
      <cdr:nvSpPr>
        <cdr:cNvPr id="3" name="Text Box 2"/>
        <cdr:cNvSpPr txBox="1"/>
      </cdr:nvSpPr>
      <cdr:spPr>
        <a:xfrm xmlns:a="http://schemas.openxmlformats.org/drawingml/2006/main">
          <a:off x="1316182" y="1219199"/>
          <a:ext cx="963367" cy="3456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b="1"/>
            <a:t>     </a:t>
          </a:r>
          <a:r>
            <a:rPr lang="lv-LV" sz="1100" b="1" baseline="0">
              <a:solidFill>
                <a:schemeClr val="tx1"/>
              </a:solidFill>
              <a:latin typeface="Times New Roman" panose="02020603050405020304" pitchFamily="18" charset="0"/>
            </a:rPr>
            <a:t>8593</a:t>
          </a:r>
        </a:p>
      </cdr:txBody>
    </cdr:sp>
  </cdr:relSizeAnchor>
</c:userShapes>
</file>

<file path=word/drawings/drawing6.xml><?xml version="1.0" encoding="utf-8"?>
<c:userShapes xmlns:c="http://schemas.openxmlformats.org/drawingml/2006/chart">
  <cdr:relSizeAnchor xmlns:cdr="http://schemas.openxmlformats.org/drawingml/2006/chartDrawing">
    <cdr:from>
      <cdr:x>0.44374</cdr:x>
      <cdr:y>0.53682</cdr:y>
    </cdr:from>
    <cdr:to>
      <cdr:x>0.55151</cdr:x>
      <cdr:y>0.67458</cdr:y>
    </cdr:to>
    <cdr:sp macro="" textlink="">
      <cdr:nvSpPr>
        <cdr:cNvPr id="2" name="TextBox 1"/>
        <cdr:cNvSpPr txBox="1"/>
      </cdr:nvSpPr>
      <cdr:spPr>
        <a:xfrm xmlns:a="http://schemas.openxmlformats.org/drawingml/2006/main">
          <a:off x="2667001" y="2152651"/>
          <a:ext cx="64770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0.26936</cdr:x>
      <cdr:y>0.53625</cdr:y>
    </cdr:from>
    <cdr:to>
      <cdr:x>0.43906</cdr:x>
      <cdr:y>0.67942</cdr:y>
    </cdr:to>
    <cdr:sp macro="" textlink="">
      <cdr:nvSpPr>
        <cdr:cNvPr id="3" name="Text Box 2"/>
        <cdr:cNvSpPr txBox="1"/>
      </cdr:nvSpPr>
      <cdr:spPr>
        <a:xfrm xmlns:a="http://schemas.openxmlformats.org/drawingml/2006/main">
          <a:off x="1315496" y="1244599"/>
          <a:ext cx="828779" cy="3322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b="1"/>
            <a:t>     </a:t>
          </a:r>
          <a:r>
            <a:rPr lang="lv-LV" sz="1100" b="1" baseline="0">
              <a:solidFill>
                <a:schemeClr val="tx1"/>
              </a:solidFill>
              <a:latin typeface="Times New Roman" panose="02020603050405020304" pitchFamily="18" charset="0"/>
            </a:rPr>
            <a:t>8088</a:t>
          </a:r>
        </a:p>
      </cdr:txBody>
    </cdr:sp>
  </cdr:relSizeAnchor>
</c:userShape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Pages>
  <Words>5915</Words>
  <Characters>3373</Characters>
  <Application>Microsoft Office Word</Application>
  <DocSecurity>0</DocSecurity>
  <Lines>28</Lines>
  <Paragraphs>18</Paragraphs>
  <ScaleCrop>false</ScaleCrop>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Laucis</dc:creator>
  <cp:keywords/>
  <dc:description/>
  <cp:lastModifiedBy>Prokurors</cp:lastModifiedBy>
  <cp:revision>2</cp:revision>
  <dcterms:created xsi:type="dcterms:W3CDTF">2021-04-09T09:07:00Z</dcterms:created>
  <dcterms:modified xsi:type="dcterms:W3CDTF">2021-04-09T09:07:00Z</dcterms:modified>
</cp:coreProperties>
</file>